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4E0F3D24" w:rsidR="00192FEB" w:rsidRDefault="0013794D" w:rsidP="00192FEB">
      <w:pPr>
        <w:pStyle w:val="Documentnumber"/>
      </w:pPr>
      <w:r>
        <w:t>1</w:t>
      </w:r>
      <w:r w:rsidR="00496E8D" w:rsidRPr="004259CB">
        <w:t>0</w:t>
      </w:r>
      <w:r>
        <w:t>2</w:t>
      </w:r>
      <w:r w:rsidR="00D70AFE" w:rsidRPr="004259CB">
        <w:t>0</w:t>
      </w:r>
    </w:p>
    <w:p w14:paraId="1F4C7081" w14:textId="77777777" w:rsidR="00757F9E" w:rsidRPr="00757F9E" w:rsidRDefault="00757F9E" w:rsidP="00757F9E">
      <w:pPr>
        <w:rPr>
          <w:lang w:val="en-GB"/>
        </w:rPr>
      </w:pPr>
    </w:p>
    <w:p w14:paraId="76B5E416" w14:textId="6A6878D7" w:rsidR="00D74AE1" w:rsidRPr="004259CB" w:rsidRDefault="00496E8D" w:rsidP="00E270C5">
      <w:pPr>
        <w:pStyle w:val="Documentname"/>
      </w:pPr>
      <w:r w:rsidRPr="004259CB">
        <w:t>Aids to Navigation</w:t>
      </w:r>
      <w:r w:rsidR="00EC4025" w:rsidRPr="004259CB">
        <w:t xml:space="preserve"> </w:t>
      </w:r>
      <w:r w:rsidR="00D6195E">
        <w:t>D</w:t>
      </w:r>
      <w:r w:rsidR="0013794D">
        <w:t xml:space="preserve">esign and </w:t>
      </w:r>
      <w:r w:rsidR="00D6195E">
        <w:t>D</w:t>
      </w:r>
      <w:r w:rsidR="0013794D">
        <w:t>elivery</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77777777" w:rsidR="00E270C5" w:rsidRPr="004259CB" w:rsidRDefault="00E270C5" w:rsidP="00E270C5">
      <w:pPr>
        <w:pStyle w:val="Editionnumber"/>
      </w:pPr>
      <w:r w:rsidRPr="004259CB">
        <w:t>Edition 1.0</w:t>
      </w:r>
    </w:p>
    <w:p w14:paraId="7C93824F" w14:textId="4402C182" w:rsidR="00D74AE1" w:rsidRPr="004259CB" w:rsidRDefault="004259CB" w:rsidP="00E270C5">
      <w:pPr>
        <w:pStyle w:val="Documentdate"/>
      </w:pPr>
      <w:r>
        <w:t>June 2018</w:t>
      </w:r>
    </w:p>
    <w:p w14:paraId="41FB13D3" w14:textId="77777777" w:rsidR="00EB6F3C" w:rsidRPr="004259CB" w:rsidRDefault="00EB6F3C" w:rsidP="003274DB">
      <w:pPr>
        <w:rPr>
          <w:lang w:val="en-GB"/>
        </w:rPr>
        <w:sectPr w:rsidR="00EB6F3C" w:rsidRPr="004259CB" w:rsidSect="007E30DF">
          <w:headerReference w:type="even" r:id="rId8"/>
          <w:headerReference w:type="default" r:id="rId9"/>
          <w:footerReference w:type="default" r:id="rId10"/>
          <w:headerReference w:type="first" r:id="rId11"/>
          <w:type w:val="continuous"/>
          <w:pgSz w:w="11906" w:h="16838" w:code="9"/>
          <w:pgMar w:top="567" w:right="1276" w:bottom="2495" w:left="1276" w:header="567" w:footer="567" w:gutter="0"/>
          <w:cols w:space="708"/>
          <w:docGrid w:linePitch="360"/>
        </w:sectPr>
      </w:pPr>
    </w:p>
    <w:p w14:paraId="6C8235D3" w14:textId="77777777" w:rsidR="00757F9E" w:rsidRDefault="00680F99">
      <w:pPr>
        <w:pStyle w:val="TOC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Hyperlink"/>
          </w:rPr>
          <w:t>1.</w:t>
        </w:r>
        <w:r w:rsidR="00757F9E">
          <w:rPr>
            <w:rFonts w:eastAsiaTheme="minorEastAsia"/>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3900E0">
          <w:rPr>
            <w:webHidden/>
          </w:rPr>
          <w:t>3</w:t>
        </w:r>
        <w:r w:rsidR="00757F9E">
          <w:rPr>
            <w:webHidden/>
          </w:rPr>
          <w:fldChar w:fldCharType="end"/>
        </w:r>
      </w:hyperlink>
    </w:p>
    <w:p w14:paraId="5A57CA93" w14:textId="77777777" w:rsidR="00757F9E" w:rsidRDefault="002607B7">
      <w:pPr>
        <w:pStyle w:val="TOC1"/>
        <w:tabs>
          <w:tab w:val="left" w:pos="720"/>
        </w:tabs>
        <w:rPr>
          <w:rFonts w:eastAsiaTheme="minorEastAsia"/>
          <w:b w:val="0"/>
          <w:color w:val="auto"/>
          <w:sz w:val="24"/>
          <w:szCs w:val="24"/>
          <w:lang w:val="en-GB" w:eastAsia="en-GB"/>
        </w:rPr>
      </w:pPr>
      <w:hyperlink w:anchor="_Toc464139605" w:history="1">
        <w:r w:rsidR="00757F9E" w:rsidRPr="00041A14">
          <w:rPr>
            <w:rStyle w:val="Hyperlink"/>
          </w:rPr>
          <w:t>2.</w:t>
        </w:r>
        <w:r w:rsidR="00757F9E">
          <w:rPr>
            <w:rFonts w:eastAsiaTheme="minorEastAsia"/>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3900E0">
          <w:rPr>
            <w:webHidden/>
          </w:rPr>
          <w:t>3</w:t>
        </w:r>
        <w:r w:rsidR="00757F9E">
          <w:rPr>
            <w:webHidden/>
          </w:rPr>
          <w:fldChar w:fldCharType="end"/>
        </w:r>
      </w:hyperlink>
    </w:p>
    <w:p w14:paraId="75034B08" w14:textId="77777777" w:rsidR="00757F9E" w:rsidRDefault="002607B7">
      <w:pPr>
        <w:pStyle w:val="TOC1"/>
        <w:tabs>
          <w:tab w:val="left" w:pos="720"/>
        </w:tabs>
        <w:rPr>
          <w:rFonts w:eastAsiaTheme="minorEastAsia"/>
          <w:b w:val="0"/>
          <w:color w:val="auto"/>
          <w:sz w:val="24"/>
          <w:szCs w:val="24"/>
          <w:lang w:val="en-GB" w:eastAsia="en-GB"/>
        </w:rPr>
      </w:pPr>
      <w:hyperlink w:anchor="_Toc464139606" w:history="1">
        <w:r w:rsidR="00757F9E" w:rsidRPr="00041A14">
          <w:rPr>
            <w:rStyle w:val="Hyperlink"/>
          </w:rPr>
          <w:t>3.</w:t>
        </w:r>
        <w:r w:rsidR="00757F9E">
          <w:rPr>
            <w:rFonts w:eastAsiaTheme="minorEastAsia"/>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3900E0">
          <w:rPr>
            <w:webHidden/>
          </w:rPr>
          <w:t>3</w:t>
        </w:r>
        <w:r w:rsidR="00757F9E">
          <w:rPr>
            <w:webHidden/>
          </w:rPr>
          <w:fldChar w:fldCharType="end"/>
        </w:r>
      </w:hyperlink>
    </w:p>
    <w:p w14:paraId="1A6265BF" w14:textId="77777777" w:rsidR="00757F9E" w:rsidRDefault="002607B7">
      <w:pPr>
        <w:pStyle w:val="TOC1"/>
        <w:tabs>
          <w:tab w:val="left" w:pos="720"/>
        </w:tabs>
        <w:rPr>
          <w:rFonts w:eastAsiaTheme="minorEastAsia"/>
          <w:b w:val="0"/>
          <w:color w:val="auto"/>
          <w:sz w:val="24"/>
          <w:szCs w:val="24"/>
          <w:lang w:val="en-GB" w:eastAsia="en-GB"/>
        </w:rPr>
      </w:pPr>
      <w:hyperlink w:anchor="_Toc464139607" w:history="1">
        <w:r w:rsidR="00757F9E" w:rsidRPr="00041A14">
          <w:rPr>
            <w:rStyle w:val="Hyperlink"/>
          </w:rPr>
          <w:t>4.</w:t>
        </w:r>
        <w:r w:rsidR="00757F9E">
          <w:rPr>
            <w:rFonts w:eastAsiaTheme="minorEastAsia"/>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3900E0">
          <w:rPr>
            <w:webHidden/>
          </w:rPr>
          <w:t>3</w:t>
        </w:r>
        <w:r w:rsidR="00757F9E">
          <w:rPr>
            <w:webHidden/>
          </w:rPr>
          <w:fldChar w:fldCharType="end"/>
        </w:r>
      </w:hyperlink>
    </w:p>
    <w:p w14:paraId="4BE62355" w14:textId="77777777" w:rsidR="00757F9E" w:rsidRDefault="002607B7">
      <w:pPr>
        <w:pStyle w:val="TOC1"/>
        <w:tabs>
          <w:tab w:val="left" w:pos="720"/>
        </w:tabs>
        <w:rPr>
          <w:rFonts w:eastAsiaTheme="minorEastAsia"/>
          <w:b w:val="0"/>
          <w:color w:val="auto"/>
          <w:sz w:val="24"/>
          <w:szCs w:val="24"/>
          <w:lang w:val="en-GB" w:eastAsia="en-GB"/>
        </w:rPr>
      </w:pPr>
      <w:hyperlink w:anchor="_Toc464139608" w:history="1">
        <w:r w:rsidR="00757F9E" w:rsidRPr="00041A14">
          <w:rPr>
            <w:rStyle w:val="Hyperlink"/>
          </w:rPr>
          <w:t>5.</w:t>
        </w:r>
        <w:r w:rsidR="00757F9E">
          <w:rPr>
            <w:rFonts w:eastAsiaTheme="minorEastAsia"/>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3900E0">
          <w:rPr>
            <w:webHidden/>
          </w:rPr>
          <w:t>4</w:t>
        </w:r>
        <w:r w:rsidR="00757F9E">
          <w:rPr>
            <w:webHidden/>
          </w:rPr>
          <w:fldChar w:fldCharType="end"/>
        </w:r>
      </w:hyperlink>
    </w:p>
    <w:p w14:paraId="56E650A4" w14:textId="77777777" w:rsidR="00757F9E" w:rsidRDefault="002607B7">
      <w:pPr>
        <w:pStyle w:val="TOC1"/>
        <w:tabs>
          <w:tab w:val="left" w:pos="720"/>
        </w:tabs>
        <w:rPr>
          <w:rFonts w:eastAsiaTheme="minorEastAsia"/>
          <w:b w:val="0"/>
          <w:color w:val="auto"/>
          <w:sz w:val="24"/>
          <w:szCs w:val="24"/>
          <w:lang w:val="en-GB" w:eastAsia="en-GB"/>
        </w:rPr>
      </w:pPr>
      <w:hyperlink w:anchor="_Toc464139609" w:history="1">
        <w:r w:rsidR="00757F9E" w:rsidRPr="00041A14">
          <w:rPr>
            <w:rStyle w:val="Hyperlink"/>
          </w:rPr>
          <w:t>6.</w:t>
        </w:r>
        <w:r w:rsidR="00757F9E">
          <w:rPr>
            <w:rFonts w:eastAsiaTheme="minorEastAsia"/>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3900E0">
          <w:rPr>
            <w:webHidden/>
          </w:rPr>
          <w:t>5</w:t>
        </w:r>
        <w:r w:rsidR="00757F9E">
          <w:rPr>
            <w:webHidden/>
          </w:rPr>
          <w:fldChar w:fldCharType="end"/>
        </w:r>
      </w:hyperlink>
    </w:p>
    <w:p w14:paraId="5CB07878" w14:textId="77777777" w:rsidR="00757F9E" w:rsidRDefault="002607B7">
      <w:pPr>
        <w:pStyle w:val="TOC1"/>
        <w:tabs>
          <w:tab w:val="left" w:pos="720"/>
        </w:tabs>
        <w:rPr>
          <w:rFonts w:eastAsiaTheme="minorEastAsia"/>
          <w:b w:val="0"/>
          <w:color w:val="auto"/>
          <w:sz w:val="24"/>
          <w:szCs w:val="24"/>
          <w:lang w:val="en-GB" w:eastAsia="en-GB"/>
        </w:rPr>
      </w:pPr>
      <w:hyperlink w:anchor="_Toc464139610" w:history="1">
        <w:r w:rsidR="00757F9E" w:rsidRPr="00041A14">
          <w:rPr>
            <w:rStyle w:val="Hyperlink"/>
          </w:rPr>
          <w:t>7.</w:t>
        </w:r>
        <w:r w:rsidR="00757F9E">
          <w:rPr>
            <w:rFonts w:eastAsiaTheme="minorEastAsia"/>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3900E0">
          <w:rPr>
            <w:webHidden/>
          </w:rPr>
          <w:t>5</w:t>
        </w:r>
        <w:r w:rsidR="00757F9E">
          <w:rPr>
            <w:webHidden/>
          </w:rPr>
          <w:fldChar w:fldCharType="end"/>
        </w:r>
      </w:hyperlink>
    </w:p>
    <w:p w14:paraId="790A8C13" w14:textId="77777777" w:rsidR="00757F9E" w:rsidRDefault="002607B7">
      <w:pPr>
        <w:pStyle w:val="TOC1"/>
        <w:tabs>
          <w:tab w:val="left" w:pos="720"/>
        </w:tabs>
        <w:rPr>
          <w:rFonts w:eastAsiaTheme="minorEastAsia"/>
          <w:b w:val="0"/>
          <w:color w:val="auto"/>
          <w:sz w:val="24"/>
          <w:szCs w:val="24"/>
          <w:lang w:val="en-GB" w:eastAsia="en-GB"/>
        </w:rPr>
      </w:pPr>
      <w:hyperlink w:anchor="_Toc464139611" w:history="1">
        <w:r w:rsidR="00757F9E" w:rsidRPr="00041A14">
          <w:rPr>
            <w:rStyle w:val="Hyperlink"/>
          </w:rPr>
          <w:t>8.</w:t>
        </w:r>
        <w:r w:rsidR="00757F9E">
          <w:rPr>
            <w:rFonts w:eastAsiaTheme="minorEastAsia"/>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3900E0">
          <w:rPr>
            <w:webHidden/>
          </w:rPr>
          <w:t>5</w:t>
        </w:r>
        <w:r w:rsidR="00757F9E">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2"/>
          <w:headerReference w:type="default" r:id="rId13"/>
          <w:footerReference w:type="default" r:id="rId14"/>
          <w:headerReference w:type="first" r:id="rId15"/>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Heading1"/>
        <w:tabs>
          <w:tab w:val="clear" w:pos="0"/>
        </w:tabs>
        <w:spacing w:before="0"/>
        <w:ind w:left="0" w:firstLine="0"/>
      </w:pPr>
      <w:bookmarkStart w:id="0" w:name="_Toc432687596"/>
      <w:bookmarkStart w:id="1" w:name="_Toc464033443"/>
      <w:bookmarkStart w:id="2" w:name="_Toc464136438"/>
      <w:bookmarkStart w:id="3" w:name="_Toc464139604"/>
      <w:r w:rsidRPr="004259CB">
        <w:rPr>
          <w:caps w:val="0"/>
        </w:rPr>
        <w:t>INTRODUCTION</w:t>
      </w:r>
      <w:bookmarkEnd w:id="0"/>
      <w:bookmarkEnd w:id="1"/>
      <w:bookmarkEnd w:id="2"/>
      <w:bookmarkEnd w:id="3"/>
    </w:p>
    <w:p w14:paraId="5A48B6AB" w14:textId="77777777" w:rsidR="004259CB" w:rsidRPr="004259CB" w:rsidRDefault="004259CB" w:rsidP="004259CB">
      <w:pPr>
        <w:pStyle w:val="Sparationtitre1"/>
        <w:rPr>
          <w:lang w:val="en-GB"/>
        </w:rPr>
      </w:pPr>
    </w:p>
    <w:p w14:paraId="0E311505" w14:textId="4DA5C6EE" w:rsidR="004259CB" w:rsidRPr="004259CB" w:rsidRDefault="004259CB" w:rsidP="004259CB">
      <w:pPr>
        <w:pStyle w:val="BodyText"/>
      </w:pPr>
      <w:r w:rsidRPr="004259CB">
        <w:t>IALA publishes Standards, Recommendations, and Guidelines for the global harmonisation of the provision, maintenance, and operation of marine aids to navigation, to foster the safe, economic, and efficient movement of vessels, and for the protection of the environment.</w:t>
      </w:r>
    </w:p>
    <w:p w14:paraId="79C6D689" w14:textId="77A050D5" w:rsidR="004259CB" w:rsidRPr="004259CB" w:rsidRDefault="004259CB" w:rsidP="004259CB">
      <w:pPr>
        <w:pStyle w:val="BodyText"/>
      </w:pPr>
      <w:r w:rsidRPr="004259CB">
        <w:t>They are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77777777" w:rsidR="004259CB" w:rsidRPr="004259CB" w:rsidRDefault="004259CB" w:rsidP="00BA0EEF">
            <w:pPr>
              <w:spacing w:before="120" w:after="120"/>
              <w:ind w:left="170"/>
              <w:rPr>
                <w:sz w:val="22"/>
                <w:lang w:val="en-GB"/>
              </w:rPr>
            </w:pPr>
            <w:r w:rsidRPr="004259CB">
              <w:rPr>
                <w:sz w:val="22"/>
                <w:lang w:val="en-GB"/>
              </w:rPr>
              <w:t>IALA Standards</w:t>
            </w:r>
          </w:p>
        </w:tc>
        <w:tc>
          <w:tcPr>
            <w:tcW w:w="6972" w:type="dxa"/>
          </w:tcPr>
          <w:p w14:paraId="44503F86" w14:textId="77777777" w:rsidR="004259CB" w:rsidRPr="004259CB" w:rsidRDefault="004259CB"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sidRPr="004259CB">
              <w:rPr>
                <w:sz w:val="22"/>
                <w:lang w:val="en-GB"/>
              </w:rPr>
              <w:t>IALA Standards form a framework, implementation of which by all coastal states will harmonize marine aids to navigation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77777777" w:rsidR="004259CB" w:rsidRPr="004259CB" w:rsidRDefault="004259CB" w:rsidP="00BA0EEF">
            <w:pPr>
              <w:spacing w:before="120" w:after="120"/>
              <w:ind w:left="170"/>
              <w:rPr>
                <w:sz w:val="22"/>
                <w:lang w:val="en-GB"/>
              </w:rPr>
            </w:pPr>
            <w:r w:rsidRPr="004259CB">
              <w:rPr>
                <w:sz w:val="22"/>
                <w:lang w:val="en-GB"/>
              </w:rPr>
              <w:t>IALA Recommendations</w:t>
            </w:r>
          </w:p>
        </w:tc>
        <w:tc>
          <w:tcPr>
            <w:tcW w:w="6972" w:type="dxa"/>
          </w:tcPr>
          <w:p w14:paraId="7304785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sidRPr="004259CB">
              <w:rPr>
                <w:sz w:val="22"/>
                <w:lang w:val="en-GB"/>
              </w:rPr>
              <w:t>IALA Recommendations specify what practices shall be carried out in order to comply with a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77777777" w:rsidR="004259CB" w:rsidRPr="004259CB" w:rsidRDefault="004259CB" w:rsidP="00BA0EEF">
            <w:pPr>
              <w:spacing w:before="120" w:after="120"/>
              <w:ind w:left="170"/>
              <w:rPr>
                <w:sz w:val="22"/>
                <w:lang w:val="en-GB"/>
              </w:rPr>
            </w:pPr>
            <w:r w:rsidRPr="004259CB">
              <w:rPr>
                <w:sz w:val="22"/>
                <w:lang w:val="en-GB"/>
              </w:rPr>
              <w:t>IALA Guidelines</w:t>
            </w:r>
          </w:p>
        </w:tc>
        <w:tc>
          <w:tcPr>
            <w:tcW w:w="6972" w:type="dxa"/>
          </w:tcPr>
          <w:p w14:paraId="17191375" w14:textId="77777777" w:rsidR="004259CB" w:rsidRPr="004259CB" w:rsidRDefault="004259CB"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sidRPr="004259CB">
              <w:rPr>
                <w:sz w:val="22"/>
                <w:lang w:val="en-GB"/>
              </w:rPr>
              <w:t>IALA Guidelines describe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Heading1"/>
        <w:tabs>
          <w:tab w:val="clear" w:pos="0"/>
        </w:tabs>
        <w:spacing w:before="0"/>
        <w:ind w:left="0" w:firstLine="0"/>
        <w:rPr>
          <w:caps w:val="0"/>
        </w:rPr>
      </w:pPr>
      <w:bookmarkStart w:id="4" w:name="_Toc464033444"/>
      <w:bookmarkStart w:id="5" w:name="_Toc464136439"/>
      <w:bookmarkStart w:id="6" w:name="_Toc464139605"/>
      <w:r w:rsidRPr="004259CB">
        <w:rPr>
          <w:caps w:val="0"/>
        </w:rPr>
        <w:t>PURPOSE</w:t>
      </w:r>
      <w:bookmarkEnd w:id="4"/>
      <w:bookmarkEnd w:id="5"/>
      <w:bookmarkEnd w:id="6"/>
    </w:p>
    <w:p w14:paraId="7D46D1E9" w14:textId="77777777" w:rsidR="004259CB" w:rsidRPr="004259CB" w:rsidRDefault="004259CB" w:rsidP="004259CB">
      <w:pPr>
        <w:pStyle w:val="Sparationtitre1"/>
        <w:rPr>
          <w:lang w:val="en-GB"/>
        </w:rPr>
      </w:pPr>
    </w:p>
    <w:p w14:paraId="20EFCAA9" w14:textId="77777777" w:rsidR="004259CB" w:rsidRPr="004259CB" w:rsidRDefault="004259CB" w:rsidP="004259CB">
      <w:pPr>
        <w:pStyle w:val="BodyText"/>
      </w:pPr>
      <w:r w:rsidRPr="004259CB">
        <w:t xml:space="preserve">The IALA Strategic Vision for the period 2014-2026, adopted by the General Assembly in 2014, had two Goals, the first of which is to </w:t>
      </w:r>
    </w:p>
    <w:p w14:paraId="3C014E5E" w14:textId="1A207917" w:rsidR="004259CB" w:rsidRPr="004259CB" w:rsidRDefault="004259CB" w:rsidP="004259CB">
      <w:pPr>
        <w:pStyle w:val="BodyText"/>
        <w:ind w:left="567"/>
      </w:pPr>
      <w:r w:rsidRPr="004259CB">
        <w:t>“Ensure that aids to navigation systems and related services, including e-Navigation, Vessel Traffic Services, and emerging technologies, are harmonized through international cooperation and the provision of standards.”</w:t>
      </w:r>
    </w:p>
    <w:p w14:paraId="3854151E" w14:textId="5C49E69A" w:rsidR="004259CB" w:rsidRPr="004259CB" w:rsidRDefault="004259CB" w:rsidP="004259CB">
      <w:pPr>
        <w:pStyle w:val="BodyText"/>
      </w:pPr>
      <w:r w:rsidRPr="004259CB">
        <w:t>IALA Standards are suitable for direct citation by States in the interest of an efficient and harmonised global network of aids to navigation and services.</w:t>
      </w:r>
    </w:p>
    <w:p w14:paraId="0CBAFCBD" w14:textId="0D09B547" w:rsidR="004259CB" w:rsidRPr="004259CB" w:rsidRDefault="004259CB" w:rsidP="004259CB">
      <w:pPr>
        <w:pStyle w:val="Heading1"/>
        <w:tabs>
          <w:tab w:val="clear" w:pos="0"/>
        </w:tabs>
        <w:spacing w:before="0"/>
        <w:ind w:left="0" w:firstLine="0"/>
        <w:rPr>
          <w:caps w:val="0"/>
        </w:rPr>
      </w:pPr>
      <w:bookmarkStart w:id="7" w:name="_Toc455587602"/>
      <w:bookmarkStart w:id="8" w:name="_Toc455589134"/>
      <w:bookmarkStart w:id="9" w:name="_Toc464033445"/>
      <w:bookmarkStart w:id="10" w:name="_Toc464136440"/>
      <w:bookmarkStart w:id="11" w:name="_Toc464139606"/>
      <w:bookmarkStart w:id="12" w:name="_Toc432687597"/>
      <w:bookmarkEnd w:id="7"/>
      <w:bookmarkEnd w:id="8"/>
      <w:r w:rsidRPr="004259CB">
        <w:rPr>
          <w:caps w:val="0"/>
        </w:rPr>
        <w:t>APPLICATION</w:t>
      </w:r>
      <w:bookmarkEnd w:id="9"/>
      <w:bookmarkEnd w:id="10"/>
      <w:bookmarkEnd w:id="11"/>
    </w:p>
    <w:p w14:paraId="7C7E9428" w14:textId="77777777" w:rsidR="004259CB" w:rsidRPr="004259CB" w:rsidRDefault="004259CB" w:rsidP="004259CB">
      <w:pPr>
        <w:pStyle w:val="Sparationtitre1"/>
        <w:rPr>
          <w:lang w:val="en-GB"/>
        </w:rPr>
      </w:pPr>
    </w:p>
    <w:p w14:paraId="5FA34C7A" w14:textId="05697B12" w:rsidR="004259CB" w:rsidRPr="004259CB" w:rsidRDefault="004259CB" w:rsidP="004259CB">
      <w:pPr>
        <w:pStyle w:val="BodyText"/>
      </w:pPr>
      <w:r w:rsidRPr="004259CB">
        <w:t>This Standard is suitable for implementation by all marine aids to navigation authorities.</w:t>
      </w:r>
      <w:r w:rsidR="002607B7">
        <w:t xml:space="preserve"> </w:t>
      </w:r>
      <w:r w:rsidR="002607B7" w:rsidRPr="002607B7">
        <w:rPr>
          <w:rFonts w:ascii="Tahoma" w:hAnsi="Tahoma" w:cs="Tahoma"/>
          <w:color w:val="000000"/>
          <w:sz w:val="20"/>
          <w:szCs w:val="20"/>
          <w:highlight w:val="yellow"/>
        </w:rPr>
        <w:t>comments from ENAV20-4.4.2 refer</w:t>
      </w:r>
    </w:p>
    <w:p w14:paraId="16B9C3A2" w14:textId="4E07D271" w:rsidR="004259CB" w:rsidRPr="004259CB" w:rsidRDefault="004259CB" w:rsidP="004259CB">
      <w:pPr>
        <w:pStyle w:val="Heading1"/>
        <w:tabs>
          <w:tab w:val="clear" w:pos="0"/>
        </w:tabs>
        <w:spacing w:before="0"/>
        <w:ind w:left="0" w:firstLine="0"/>
        <w:rPr>
          <w:caps w:val="0"/>
        </w:rPr>
      </w:pPr>
      <w:bookmarkStart w:id="13" w:name="_Toc464033446"/>
      <w:bookmarkStart w:id="14" w:name="_Toc464136441"/>
      <w:bookmarkStart w:id="15" w:name="_Toc464139607"/>
      <w:r w:rsidRPr="004259CB">
        <w:rPr>
          <w:caps w:val="0"/>
        </w:rPr>
        <w:t>SCOPE</w:t>
      </w:r>
      <w:bookmarkEnd w:id="12"/>
      <w:bookmarkEnd w:id="13"/>
      <w:bookmarkEnd w:id="14"/>
      <w:bookmarkEnd w:id="15"/>
    </w:p>
    <w:p w14:paraId="6F92D31F" w14:textId="77777777" w:rsidR="004259CB" w:rsidRPr="004259CB" w:rsidRDefault="004259CB" w:rsidP="004259CB">
      <w:pPr>
        <w:pStyle w:val="Sparationtitre1"/>
        <w:rPr>
          <w:lang w:val="en-GB"/>
        </w:rPr>
      </w:pPr>
    </w:p>
    <w:p w14:paraId="7CEBD959" w14:textId="53D92B58" w:rsidR="004259CB" w:rsidRPr="004259CB" w:rsidRDefault="004259CB" w:rsidP="004259CB">
      <w:pPr>
        <w:pStyle w:val="BodyText"/>
      </w:pPr>
      <w:r w:rsidRPr="004259CB">
        <w:t>IALA Standards may contain Normative and Informative provisions.</w:t>
      </w:r>
    </w:p>
    <w:p w14:paraId="14AB05F0" w14:textId="5FA503FB" w:rsidR="004259CB" w:rsidRPr="004259CB" w:rsidRDefault="004259CB" w:rsidP="004259CB">
      <w:pPr>
        <w:pStyle w:val="BodyText"/>
      </w:pPr>
      <w:r w:rsidRPr="004259CB">
        <w:t>Normative provisions are those with which it is necessary to conform in order to claim compliance with the Standard.</w:t>
      </w:r>
    </w:p>
    <w:p w14:paraId="6BAC2A13" w14:textId="00212806" w:rsidR="004259CB" w:rsidRPr="004259CB" w:rsidRDefault="004259CB" w:rsidP="004259CB">
      <w:pPr>
        <w:pStyle w:val="BodyText"/>
      </w:pPr>
      <w:r w:rsidRPr="004259CB">
        <w:t>Informative provisions are those which specify additional desirable practices but with which it is not necessary to conform in order to claim compliance with the Standard.</w:t>
      </w:r>
    </w:p>
    <w:p w14:paraId="46D71A95" w14:textId="60FFEF8F" w:rsidR="004259CB" w:rsidRPr="004259CB" w:rsidRDefault="004259CB" w:rsidP="004259CB">
      <w:pPr>
        <w:pStyle w:val="BodyText"/>
      </w:pPr>
      <w:r w:rsidRPr="004259CB">
        <w:t>This Standard references Normative and Informative provisions, detailed in the listed IALA Recommendations, covering the following scope.</w:t>
      </w:r>
      <w:r w:rsidR="002607B7" w:rsidRPr="002607B7">
        <w:rPr>
          <w:rFonts w:ascii="Tahoma" w:hAnsi="Tahoma" w:cs="Tahoma"/>
          <w:color w:val="000000"/>
          <w:sz w:val="20"/>
          <w:szCs w:val="20"/>
        </w:rPr>
        <w:t xml:space="preserve"> </w:t>
      </w:r>
      <w:r w:rsidR="002607B7" w:rsidRPr="002607B7">
        <w:rPr>
          <w:rFonts w:ascii="Tahoma" w:hAnsi="Tahoma" w:cs="Tahoma"/>
          <w:color w:val="000000"/>
          <w:sz w:val="20"/>
          <w:szCs w:val="20"/>
          <w:highlight w:val="yellow"/>
        </w:rPr>
        <w:t>change to :</w:t>
      </w:r>
    </w:p>
    <w:p w14:paraId="2B81A1FE" w14:textId="77777777" w:rsidR="002607B7" w:rsidRPr="002607B7" w:rsidRDefault="00E77E7B" w:rsidP="002607B7">
      <w:pPr>
        <w:autoSpaceDE w:val="0"/>
        <w:autoSpaceDN w:val="0"/>
        <w:adjustRightInd w:val="0"/>
        <w:spacing w:line="240" w:lineRule="auto"/>
        <w:rPr>
          <w:rFonts w:ascii="Tahoma" w:hAnsi="Tahoma" w:cs="Tahoma"/>
          <w:color w:val="000000"/>
          <w:sz w:val="20"/>
          <w:szCs w:val="20"/>
          <w:highlight w:val="yellow"/>
          <w:lang w:val="en-GB"/>
        </w:rPr>
      </w:pPr>
      <w:r>
        <w:t>Visual signalling (Vision, Colour,</w:t>
      </w:r>
      <w:r w:rsidR="00C07895">
        <w:t xml:space="preserve"> </w:t>
      </w:r>
      <w:r>
        <w:t>Conspicuity,</w:t>
      </w:r>
      <w:r w:rsidR="00C07895">
        <w:t xml:space="preserve"> </w:t>
      </w:r>
      <w:r>
        <w:t>Rythmic characters)</w:t>
      </w:r>
      <w:r w:rsidR="002607B7">
        <w:t xml:space="preserve"> </w:t>
      </w:r>
      <w:r w:rsidR="002607B7" w:rsidRPr="002607B7">
        <w:rPr>
          <w:rFonts w:ascii="Tahoma" w:hAnsi="Tahoma" w:cs="Tahoma"/>
          <w:color w:val="000000"/>
          <w:sz w:val="20"/>
          <w:szCs w:val="20"/>
          <w:highlight w:val="yellow"/>
          <w:lang w:val="en-GB"/>
        </w:rPr>
        <w:t xml:space="preserve">Change text in table to reflect the 'scope' elements here. </w:t>
      </w:r>
    </w:p>
    <w:p w14:paraId="273048D8" w14:textId="77777777" w:rsidR="002607B7" w:rsidRDefault="002607B7" w:rsidP="002607B7">
      <w:pPr>
        <w:autoSpaceDE w:val="0"/>
        <w:autoSpaceDN w:val="0"/>
        <w:adjustRightInd w:val="0"/>
        <w:spacing w:line="240" w:lineRule="auto"/>
        <w:rPr>
          <w:rFonts w:ascii="Tahoma" w:hAnsi="Tahoma" w:cs="Tahoma"/>
          <w:sz w:val="20"/>
          <w:szCs w:val="20"/>
          <w:lang w:val="en-GB"/>
        </w:rPr>
      </w:pPr>
      <w:r w:rsidRPr="002607B7">
        <w:rPr>
          <w:rFonts w:ascii="Tahoma" w:hAnsi="Tahoma" w:cs="Tahoma"/>
          <w:color w:val="000000"/>
          <w:sz w:val="20"/>
          <w:szCs w:val="20"/>
          <w:highlight w:val="yellow"/>
          <w:lang w:val="en-GB"/>
        </w:rPr>
        <w:t>Order the 'scope' elements to reflect the order in the table.</w:t>
      </w:r>
      <w:r>
        <w:rPr>
          <w:rFonts w:ascii="Tahoma" w:hAnsi="Tahoma" w:cs="Tahoma"/>
          <w:color w:val="000000"/>
          <w:sz w:val="20"/>
          <w:szCs w:val="20"/>
          <w:lang w:val="en-GB"/>
        </w:rPr>
        <w:t xml:space="preserve">  </w:t>
      </w:r>
    </w:p>
    <w:p w14:paraId="0597A8CD" w14:textId="559633AA" w:rsidR="004259CB" w:rsidRDefault="004259CB" w:rsidP="004259CB">
      <w:pPr>
        <w:pStyle w:val="Bullet1"/>
      </w:pPr>
    </w:p>
    <w:p w14:paraId="32C4C1B7" w14:textId="0543C77D" w:rsidR="00E77E7B" w:rsidRDefault="00E77E7B" w:rsidP="004259CB">
      <w:pPr>
        <w:pStyle w:val="Bullet1"/>
      </w:pPr>
      <w:r>
        <w:t>Range and performance (Visual and Audible)</w:t>
      </w:r>
    </w:p>
    <w:p w14:paraId="3DA886AF" w14:textId="42302C3F" w:rsidR="00E77E7B" w:rsidRDefault="00E77E7B" w:rsidP="004259CB">
      <w:pPr>
        <w:pStyle w:val="Bullet1"/>
      </w:pPr>
      <w:r>
        <w:lastRenderedPageBreak/>
        <w:t>Design, Implementation, and Maintenance</w:t>
      </w:r>
    </w:p>
    <w:p w14:paraId="1448A6B5" w14:textId="4F79CFD1" w:rsidR="00E77E7B" w:rsidRDefault="00E77E7B" w:rsidP="004259CB">
      <w:pPr>
        <w:pStyle w:val="Bullet1"/>
      </w:pPr>
      <w:r>
        <w:t>Power systems</w:t>
      </w:r>
      <w:r w:rsidR="002607B7">
        <w:t xml:space="preserve">  </w:t>
      </w:r>
      <w:r w:rsidR="002607B7" w:rsidRPr="002607B7">
        <w:rPr>
          <w:rFonts w:ascii="Tahoma" w:hAnsi="Tahoma" w:cs="Tahoma"/>
          <w:color w:val="000000"/>
          <w:sz w:val="20"/>
          <w:szCs w:val="20"/>
          <w:highlight w:val="yellow"/>
        </w:rPr>
        <w:t>either delete or include in the table with appropriate standards</w:t>
      </w:r>
      <w:r w:rsidR="002607B7">
        <w:rPr>
          <w:rFonts w:ascii="Tahoma" w:hAnsi="Tahoma" w:cs="Tahoma"/>
          <w:color w:val="000000"/>
          <w:sz w:val="20"/>
          <w:szCs w:val="20"/>
        </w:rPr>
        <w:t>.</w:t>
      </w:r>
    </w:p>
    <w:p w14:paraId="4D1E3318" w14:textId="202477E0" w:rsidR="00E77E7B" w:rsidRDefault="00E77E7B" w:rsidP="004259CB">
      <w:pPr>
        <w:pStyle w:val="Bullet1"/>
      </w:pPr>
      <w:r>
        <w:t>Floating Aids to Navigation (Buoys, Moorings, Stability)</w:t>
      </w:r>
    </w:p>
    <w:p w14:paraId="3401DF1A" w14:textId="77777777" w:rsidR="002607B7" w:rsidRPr="002607B7" w:rsidRDefault="00E77E7B" w:rsidP="002607B7">
      <w:pPr>
        <w:autoSpaceDE w:val="0"/>
        <w:autoSpaceDN w:val="0"/>
        <w:adjustRightInd w:val="0"/>
        <w:spacing w:line="240" w:lineRule="auto"/>
        <w:rPr>
          <w:rFonts w:ascii="Tahoma" w:hAnsi="Tahoma" w:cs="Tahoma"/>
          <w:color w:val="000000"/>
          <w:sz w:val="20"/>
          <w:szCs w:val="20"/>
          <w:highlight w:val="yellow"/>
          <w:lang w:val="en-GB"/>
        </w:rPr>
      </w:pPr>
      <w:r>
        <w:t>Environment, Sustainability, and Legacy</w:t>
      </w:r>
      <w:r w:rsidR="002607B7">
        <w:t xml:space="preserve">   </w:t>
      </w:r>
      <w:r w:rsidR="002607B7" w:rsidRPr="002607B7">
        <w:rPr>
          <w:rFonts w:ascii="Tahoma" w:hAnsi="Tahoma" w:cs="Tahoma"/>
          <w:color w:val="000000"/>
          <w:sz w:val="20"/>
          <w:szCs w:val="20"/>
          <w:highlight w:val="yellow"/>
          <w:lang w:val="en-GB"/>
        </w:rPr>
        <w:t xml:space="preserve">delete or include in table with appropriate standards. </w:t>
      </w:r>
    </w:p>
    <w:p w14:paraId="46D8B5A0" w14:textId="77777777" w:rsidR="002607B7" w:rsidRDefault="002607B7" w:rsidP="002607B7">
      <w:pPr>
        <w:autoSpaceDE w:val="0"/>
        <w:autoSpaceDN w:val="0"/>
        <w:adjustRightInd w:val="0"/>
        <w:spacing w:line="240" w:lineRule="auto"/>
        <w:rPr>
          <w:rFonts w:ascii="Tahoma" w:hAnsi="Tahoma" w:cs="Tahoma"/>
          <w:sz w:val="20"/>
          <w:szCs w:val="20"/>
          <w:lang w:val="en-GB"/>
        </w:rPr>
      </w:pPr>
      <w:r w:rsidRPr="002607B7">
        <w:rPr>
          <w:rFonts w:ascii="Tahoma" w:hAnsi="Tahoma" w:cs="Tahoma"/>
          <w:color w:val="000000"/>
          <w:sz w:val="20"/>
          <w:szCs w:val="20"/>
          <w:highlight w:val="yellow"/>
          <w:lang w:val="en-GB"/>
        </w:rPr>
        <w:t>legacy - historic lights / new optics; older lights maintained for historic / operational purposes.  (optimum mix for users)</w:t>
      </w:r>
      <w:r>
        <w:rPr>
          <w:rFonts w:ascii="Tahoma" w:hAnsi="Tahoma" w:cs="Tahoma"/>
          <w:color w:val="000000"/>
          <w:sz w:val="20"/>
          <w:szCs w:val="20"/>
          <w:lang w:val="en-GB"/>
        </w:rPr>
        <w:t xml:space="preserve"> </w:t>
      </w:r>
    </w:p>
    <w:p w14:paraId="2239D81C" w14:textId="0F265541" w:rsidR="00E77E7B" w:rsidRPr="00BE0675" w:rsidRDefault="00E77E7B" w:rsidP="004259CB">
      <w:pPr>
        <w:pStyle w:val="Bullet1"/>
      </w:pPr>
    </w:p>
    <w:p w14:paraId="26337B12" w14:textId="2C89075D" w:rsidR="004259CB" w:rsidRPr="004259CB" w:rsidRDefault="004259CB" w:rsidP="004259CB">
      <w:pPr>
        <w:pStyle w:val="Heading1"/>
        <w:tabs>
          <w:tab w:val="clear" w:pos="0"/>
        </w:tabs>
        <w:spacing w:before="0"/>
        <w:ind w:left="0" w:firstLine="0"/>
        <w:rPr>
          <w:caps w:val="0"/>
        </w:rPr>
      </w:pPr>
      <w:bookmarkStart w:id="16" w:name="_Toc455587604"/>
      <w:bookmarkStart w:id="17" w:name="_Toc455589136"/>
      <w:bookmarkStart w:id="18" w:name="_Toc432687599"/>
      <w:bookmarkStart w:id="19" w:name="_Toc464033447"/>
      <w:bookmarkStart w:id="20" w:name="_Toc464136442"/>
      <w:bookmarkStart w:id="21" w:name="_Toc464139608"/>
      <w:bookmarkEnd w:id="16"/>
      <w:bookmarkEnd w:id="17"/>
      <w:r w:rsidRPr="004259CB">
        <w:rPr>
          <w:caps w:val="0"/>
        </w:rPr>
        <w:t>REFERENCED DOCUMENT</w:t>
      </w:r>
      <w:r w:rsidR="00757F9E" w:rsidRPr="004259CB">
        <w:rPr>
          <w:caps w:val="0"/>
        </w:rPr>
        <w:t>S</w:t>
      </w:r>
      <w:bookmarkEnd w:id="18"/>
      <w:bookmarkEnd w:id="19"/>
      <w:bookmarkEnd w:id="20"/>
      <w:bookmarkEnd w:id="21"/>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63785EE5" w14:textId="77777777" w:rsidR="003900E0" w:rsidRPr="004259CB" w:rsidRDefault="003900E0" w:rsidP="003900E0">
      <w:pPr>
        <w:pStyle w:val="BodyText"/>
      </w:pPr>
      <w:bookmarkStart w:id="22" w:name="_Toc455589139"/>
      <w:bookmarkEnd w:id="22"/>
      <w:r w:rsidRPr="004259CB">
        <w:t xml:space="preserve">In this Standard the word ‘shall’ is used to </w:t>
      </w:r>
      <w:r>
        <w:t>indicate</w:t>
      </w:r>
      <w:r w:rsidRPr="004259CB">
        <w:t xml:space="preserve"> that a provision is Normative and </w:t>
      </w:r>
      <w:r w:rsidRPr="002607B7">
        <w:rPr>
          <w:highlight w:val="yellow"/>
        </w:rPr>
        <w:t>so</w:t>
      </w:r>
      <w:r w:rsidRPr="004259CB">
        <w:t xml:space="preserve"> is to be followed in order to comply with the standard.  The word ‘should’ introduces Informative provisions.</w:t>
      </w:r>
    </w:p>
    <w:p w14:paraId="398CA937" w14:textId="77777777" w:rsidR="004259CB" w:rsidRPr="004259CB" w:rsidRDefault="004259CB" w:rsidP="004259CB">
      <w:pPr>
        <w:pStyle w:val="Textedesaisie"/>
        <w:rPr>
          <w:lang w:val="en-GB"/>
        </w:rPr>
      </w:pPr>
      <w:r w:rsidRPr="004259CB">
        <w:rPr>
          <w:lang w:val="en-GB"/>
        </w:rPr>
        <w:t xml:space="preserve">The following Recommendations are </w:t>
      </w:r>
      <w:r w:rsidRPr="004259CB">
        <w:rPr>
          <w:b/>
          <w:lang w:val="en-GB"/>
        </w:rPr>
        <w:t>Normative</w:t>
      </w:r>
      <w:r w:rsidRPr="004259CB">
        <w:rPr>
          <w:lang w:val="en-GB"/>
        </w:rPr>
        <w:t xml:space="preserve"> provisions, and </w:t>
      </w:r>
      <w:r w:rsidRPr="003900E0">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TableGrid"/>
        <w:tblW w:w="0" w:type="auto"/>
        <w:jc w:val="center"/>
        <w:tblLayout w:type="fixed"/>
        <w:tblLook w:val="04A0" w:firstRow="1" w:lastRow="0" w:firstColumn="1" w:lastColumn="0" w:noHBand="0" w:noVBand="1"/>
      </w:tblPr>
      <w:tblGrid>
        <w:gridCol w:w="2526"/>
        <w:gridCol w:w="984"/>
        <w:gridCol w:w="6237"/>
      </w:tblGrid>
      <w:tr w:rsidR="004259CB" w:rsidRPr="004259CB" w14:paraId="0C5F35C5" w14:textId="77777777" w:rsidTr="004259CB">
        <w:trPr>
          <w:jc w:val="center"/>
        </w:trPr>
        <w:tc>
          <w:tcPr>
            <w:tcW w:w="2526"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984"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6237"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085375" w:rsidRPr="004259CB" w14:paraId="062FCEE7" w14:textId="77777777" w:rsidTr="004259CB">
        <w:trPr>
          <w:jc w:val="center"/>
        </w:trPr>
        <w:tc>
          <w:tcPr>
            <w:tcW w:w="2526" w:type="dxa"/>
            <w:vMerge w:val="restart"/>
          </w:tcPr>
          <w:p w14:paraId="51D2F320" w14:textId="5B84813B" w:rsidR="00085375" w:rsidRPr="004259CB" w:rsidRDefault="00085375" w:rsidP="00BA0EEF">
            <w:pPr>
              <w:spacing w:before="120" w:after="120"/>
              <w:rPr>
                <w:b/>
                <w:sz w:val="22"/>
                <w:lang w:val="en-GB"/>
              </w:rPr>
            </w:pPr>
            <w:r w:rsidRPr="00085375">
              <w:rPr>
                <w:b/>
                <w:sz w:val="22"/>
                <w:lang w:val="en-GB"/>
              </w:rPr>
              <w:t>Visual Aids to Navigation</w:t>
            </w:r>
          </w:p>
        </w:tc>
        <w:tc>
          <w:tcPr>
            <w:tcW w:w="984" w:type="dxa"/>
          </w:tcPr>
          <w:p w14:paraId="24C6056B" w14:textId="055EA834" w:rsidR="00085375" w:rsidRPr="004259CB" w:rsidRDefault="00085375" w:rsidP="00BA0EEF">
            <w:pPr>
              <w:spacing w:before="120" w:after="120"/>
              <w:rPr>
                <w:sz w:val="22"/>
                <w:lang w:val="en-GB"/>
              </w:rPr>
            </w:pPr>
            <w:r>
              <w:rPr>
                <w:sz w:val="22"/>
                <w:lang w:val="en-GB"/>
              </w:rPr>
              <w:t>E-108</w:t>
            </w:r>
          </w:p>
        </w:tc>
        <w:tc>
          <w:tcPr>
            <w:tcW w:w="6237" w:type="dxa"/>
          </w:tcPr>
          <w:p w14:paraId="5BCA97D6" w14:textId="35F29D3E" w:rsidR="00085375" w:rsidRPr="004259CB" w:rsidRDefault="00085375" w:rsidP="00BA0EEF">
            <w:pPr>
              <w:spacing w:before="120" w:after="120"/>
              <w:rPr>
                <w:sz w:val="22"/>
                <w:lang w:val="en-GB"/>
              </w:rPr>
            </w:pPr>
            <w:r w:rsidRPr="00085375">
              <w:rPr>
                <w:sz w:val="22"/>
                <w:lang w:val="en-GB"/>
              </w:rPr>
              <w:t>The Surface Colours used as Visual Signal</w:t>
            </w:r>
            <w:r>
              <w:rPr>
                <w:sz w:val="22"/>
                <w:lang w:val="en-GB"/>
              </w:rPr>
              <w:t>s</w:t>
            </w:r>
            <w:r w:rsidRPr="00085375">
              <w:rPr>
                <w:sz w:val="22"/>
                <w:lang w:val="en-GB"/>
              </w:rPr>
              <w:t xml:space="preserve"> on Aids to Navigation</w:t>
            </w:r>
          </w:p>
        </w:tc>
      </w:tr>
      <w:tr w:rsidR="00085375" w:rsidRPr="004259CB" w14:paraId="4D6F6D18" w14:textId="77777777" w:rsidTr="004259CB">
        <w:trPr>
          <w:jc w:val="center"/>
        </w:trPr>
        <w:tc>
          <w:tcPr>
            <w:tcW w:w="2526" w:type="dxa"/>
            <w:vMerge/>
          </w:tcPr>
          <w:p w14:paraId="5B18C34D" w14:textId="77777777" w:rsidR="00085375" w:rsidRPr="004259CB" w:rsidRDefault="00085375" w:rsidP="00BA0EEF">
            <w:pPr>
              <w:spacing w:before="120" w:after="120"/>
              <w:rPr>
                <w:b/>
                <w:sz w:val="22"/>
                <w:lang w:val="en-GB"/>
              </w:rPr>
            </w:pPr>
          </w:p>
        </w:tc>
        <w:tc>
          <w:tcPr>
            <w:tcW w:w="984" w:type="dxa"/>
          </w:tcPr>
          <w:p w14:paraId="60093B8F" w14:textId="3787329C" w:rsidR="00085375" w:rsidRPr="004259CB" w:rsidRDefault="00085375" w:rsidP="00BA0EEF">
            <w:pPr>
              <w:spacing w:before="120" w:after="120"/>
              <w:rPr>
                <w:sz w:val="22"/>
                <w:lang w:val="en-GB"/>
              </w:rPr>
            </w:pPr>
            <w:r>
              <w:rPr>
                <w:sz w:val="22"/>
                <w:lang w:val="en-GB"/>
              </w:rPr>
              <w:t>E-110</w:t>
            </w:r>
          </w:p>
        </w:tc>
        <w:tc>
          <w:tcPr>
            <w:tcW w:w="6237" w:type="dxa"/>
          </w:tcPr>
          <w:p w14:paraId="5D3ECDF1" w14:textId="1566836A" w:rsidR="00085375" w:rsidRPr="004259CB" w:rsidRDefault="00085375" w:rsidP="00BA0EEF">
            <w:pPr>
              <w:spacing w:before="120" w:after="120"/>
              <w:rPr>
                <w:sz w:val="22"/>
                <w:lang w:val="en-GB"/>
              </w:rPr>
            </w:pPr>
            <w:r w:rsidRPr="00085375">
              <w:rPr>
                <w:sz w:val="22"/>
                <w:lang w:val="en-GB"/>
              </w:rPr>
              <w:t>The Rhythmic Characters of Lights on Aids to Navigation</w:t>
            </w:r>
          </w:p>
        </w:tc>
      </w:tr>
      <w:tr w:rsidR="00085375" w:rsidRPr="004259CB" w14:paraId="671188FE" w14:textId="77777777" w:rsidTr="004259CB">
        <w:trPr>
          <w:jc w:val="center"/>
        </w:trPr>
        <w:tc>
          <w:tcPr>
            <w:tcW w:w="2526" w:type="dxa"/>
            <w:vMerge/>
          </w:tcPr>
          <w:p w14:paraId="2962481B" w14:textId="77777777" w:rsidR="00085375" w:rsidRPr="004259CB" w:rsidRDefault="00085375" w:rsidP="00BA0EEF">
            <w:pPr>
              <w:spacing w:before="120" w:after="120"/>
              <w:rPr>
                <w:b/>
                <w:sz w:val="22"/>
                <w:lang w:val="en-GB"/>
              </w:rPr>
            </w:pPr>
          </w:p>
        </w:tc>
        <w:tc>
          <w:tcPr>
            <w:tcW w:w="984" w:type="dxa"/>
          </w:tcPr>
          <w:p w14:paraId="3A74F1B3" w14:textId="18CC3501" w:rsidR="00085375" w:rsidRPr="004259CB" w:rsidRDefault="00085375" w:rsidP="00BA0EEF">
            <w:pPr>
              <w:spacing w:before="120" w:after="120"/>
              <w:rPr>
                <w:sz w:val="22"/>
                <w:lang w:val="en-GB"/>
              </w:rPr>
            </w:pPr>
            <w:r>
              <w:rPr>
                <w:sz w:val="22"/>
                <w:lang w:val="en-GB"/>
              </w:rPr>
              <w:t>E-112</w:t>
            </w:r>
          </w:p>
        </w:tc>
        <w:tc>
          <w:tcPr>
            <w:tcW w:w="6237" w:type="dxa"/>
          </w:tcPr>
          <w:p w14:paraId="33693B37" w14:textId="6D1A2361" w:rsidR="00085375" w:rsidRPr="004259CB" w:rsidRDefault="00085375" w:rsidP="00BA0EEF">
            <w:pPr>
              <w:spacing w:before="120" w:after="120"/>
              <w:rPr>
                <w:sz w:val="22"/>
                <w:lang w:val="en-GB"/>
              </w:rPr>
            </w:pPr>
            <w:r>
              <w:rPr>
                <w:sz w:val="22"/>
                <w:lang w:val="en-GB"/>
              </w:rPr>
              <w:t>Leading Lights</w:t>
            </w:r>
          </w:p>
        </w:tc>
      </w:tr>
      <w:tr w:rsidR="00085375" w:rsidRPr="004259CB" w14:paraId="065A43D9" w14:textId="77777777" w:rsidTr="004259CB">
        <w:trPr>
          <w:jc w:val="center"/>
        </w:trPr>
        <w:tc>
          <w:tcPr>
            <w:tcW w:w="2526" w:type="dxa"/>
            <w:vMerge/>
          </w:tcPr>
          <w:p w14:paraId="26C15436" w14:textId="77777777" w:rsidR="00085375" w:rsidRPr="004259CB" w:rsidRDefault="00085375" w:rsidP="00BA0EEF">
            <w:pPr>
              <w:spacing w:before="120" w:after="120"/>
              <w:rPr>
                <w:b/>
                <w:sz w:val="22"/>
                <w:lang w:val="en-GB"/>
              </w:rPr>
            </w:pPr>
          </w:p>
        </w:tc>
        <w:tc>
          <w:tcPr>
            <w:tcW w:w="984" w:type="dxa"/>
          </w:tcPr>
          <w:p w14:paraId="61C87096" w14:textId="1ECC2D09" w:rsidR="00085375" w:rsidRPr="004259CB" w:rsidRDefault="00085375" w:rsidP="00BA0EEF">
            <w:pPr>
              <w:spacing w:before="120" w:after="120"/>
              <w:rPr>
                <w:sz w:val="22"/>
                <w:lang w:val="en-GB"/>
              </w:rPr>
            </w:pPr>
            <w:r>
              <w:rPr>
                <w:sz w:val="22"/>
                <w:lang w:val="en-GB"/>
              </w:rPr>
              <w:t>E-200-1</w:t>
            </w:r>
          </w:p>
        </w:tc>
        <w:tc>
          <w:tcPr>
            <w:tcW w:w="6237" w:type="dxa"/>
          </w:tcPr>
          <w:p w14:paraId="61940395" w14:textId="40B9EF98" w:rsidR="00085375" w:rsidRPr="004259CB" w:rsidRDefault="00085375" w:rsidP="00BA0EEF">
            <w:pPr>
              <w:spacing w:before="120" w:after="120"/>
              <w:rPr>
                <w:sz w:val="22"/>
                <w:lang w:val="en-GB"/>
              </w:rPr>
            </w:pPr>
            <w:r w:rsidRPr="00085375">
              <w:rPr>
                <w:sz w:val="22"/>
                <w:lang w:val="en-GB"/>
              </w:rPr>
              <w:t>Marine Signal Lights Part 1 - Colours</w:t>
            </w:r>
          </w:p>
        </w:tc>
      </w:tr>
      <w:tr w:rsidR="00085375" w:rsidRPr="004259CB" w14:paraId="165EC577" w14:textId="77777777" w:rsidTr="004259CB">
        <w:trPr>
          <w:jc w:val="center"/>
        </w:trPr>
        <w:tc>
          <w:tcPr>
            <w:tcW w:w="2526" w:type="dxa"/>
            <w:vMerge/>
          </w:tcPr>
          <w:p w14:paraId="08B53BE8" w14:textId="77777777" w:rsidR="00085375" w:rsidRPr="004259CB" w:rsidRDefault="00085375" w:rsidP="00BA0EEF">
            <w:pPr>
              <w:spacing w:before="120" w:after="120"/>
              <w:rPr>
                <w:b/>
                <w:sz w:val="22"/>
                <w:lang w:val="en-GB"/>
              </w:rPr>
            </w:pPr>
          </w:p>
        </w:tc>
        <w:tc>
          <w:tcPr>
            <w:tcW w:w="984" w:type="dxa"/>
          </w:tcPr>
          <w:p w14:paraId="2BC7ED6D" w14:textId="38297183" w:rsidR="00085375" w:rsidRPr="004259CB" w:rsidRDefault="00085375" w:rsidP="00BA0EEF">
            <w:pPr>
              <w:spacing w:before="120" w:after="120"/>
              <w:rPr>
                <w:sz w:val="22"/>
                <w:lang w:val="en-GB"/>
              </w:rPr>
            </w:pPr>
            <w:r>
              <w:rPr>
                <w:sz w:val="22"/>
                <w:lang w:val="en-GB"/>
              </w:rPr>
              <w:t>O-104</w:t>
            </w:r>
          </w:p>
        </w:tc>
        <w:tc>
          <w:tcPr>
            <w:tcW w:w="6237" w:type="dxa"/>
          </w:tcPr>
          <w:p w14:paraId="2FEC46A4" w14:textId="2BE44FC8" w:rsidR="00085375" w:rsidRPr="004259CB" w:rsidRDefault="00085375" w:rsidP="00BA0EEF">
            <w:pPr>
              <w:spacing w:before="120" w:after="120"/>
              <w:rPr>
                <w:sz w:val="22"/>
                <w:lang w:val="en-GB"/>
              </w:rPr>
            </w:pPr>
            <w:r w:rsidRPr="00085375">
              <w:rPr>
                <w:sz w:val="22"/>
                <w:lang w:val="en-GB"/>
              </w:rPr>
              <w:t>Off Station Signals for Major Floating Aids</w:t>
            </w:r>
          </w:p>
        </w:tc>
      </w:tr>
      <w:tr w:rsidR="00085375" w:rsidRPr="004259CB" w14:paraId="22D6FEF1" w14:textId="77777777" w:rsidTr="004259CB">
        <w:trPr>
          <w:jc w:val="center"/>
        </w:trPr>
        <w:tc>
          <w:tcPr>
            <w:tcW w:w="2526" w:type="dxa"/>
          </w:tcPr>
          <w:p w14:paraId="4CCA2F6F" w14:textId="67857819" w:rsidR="00085375" w:rsidRPr="004259CB" w:rsidRDefault="00085375" w:rsidP="00BA0EEF">
            <w:pPr>
              <w:spacing w:before="120" w:after="120"/>
              <w:rPr>
                <w:b/>
                <w:sz w:val="22"/>
                <w:lang w:val="en-GB"/>
              </w:rPr>
            </w:pPr>
            <w:r w:rsidRPr="00085375">
              <w:rPr>
                <w:b/>
                <w:sz w:val="22"/>
                <w:lang w:val="en-GB"/>
              </w:rPr>
              <w:t>Range and Performance</w:t>
            </w:r>
          </w:p>
        </w:tc>
        <w:tc>
          <w:tcPr>
            <w:tcW w:w="984" w:type="dxa"/>
          </w:tcPr>
          <w:p w14:paraId="038AA0ED" w14:textId="1FE5D42A" w:rsidR="00085375" w:rsidRPr="004259CB" w:rsidRDefault="00085375" w:rsidP="00BA0EEF">
            <w:pPr>
              <w:spacing w:before="120" w:after="120"/>
              <w:rPr>
                <w:sz w:val="22"/>
                <w:lang w:val="en-GB"/>
              </w:rPr>
            </w:pPr>
            <w:r>
              <w:rPr>
                <w:sz w:val="22"/>
                <w:lang w:val="en-GB"/>
              </w:rPr>
              <w:t>E-200-2</w:t>
            </w:r>
          </w:p>
        </w:tc>
        <w:tc>
          <w:tcPr>
            <w:tcW w:w="6237" w:type="dxa"/>
          </w:tcPr>
          <w:p w14:paraId="784C5147" w14:textId="19059D2B" w:rsidR="00085375" w:rsidRPr="004259CB" w:rsidRDefault="00085375" w:rsidP="00BA0EEF">
            <w:pPr>
              <w:spacing w:before="120" w:after="120"/>
              <w:rPr>
                <w:sz w:val="22"/>
                <w:lang w:val="en-GB"/>
              </w:rPr>
            </w:pPr>
            <w:r w:rsidRPr="00085375">
              <w:rPr>
                <w:sz w:val="22"/>
                <w:lang w:val="en-GB"/>
              </w:rPr>
              <w:t>Marine Signal Lights Part 2 - Calculation, Definition and Notation of Luminous Range</w:t>
            </w:r>
          </w:p>
        </w:tc>
      </w:tr>
    </w:tbl>
    <w:p w14:paraId="05EE7EB0" w14:textId="77777777" w:rsidR="004259CB" w:rsidRPr="004259CB" w:rsidRDefault="004259CB" w:rsidP="004259CB">
      <w:pPr>
        <w:rPr>
          <w:lang w:val="en-GB"/>
        </w:rPr>
      </w:pPr>
      <w:bookmarkStart w:id="23" w:name="_Toc432687601"/>
      <w:bookmarkEnd w:id="23"/>
    </w:p>
    <w:p w14:paraId="040E162C" w14:textId="24314620" w:rsidR="004259CB" w:rsidRPr="004259CB" w:rsidRDefault="004259CB" w:rsidP="004259CB">
      <w:pPr>
        <w:pStyle w:val="BodyText"/>
      </w:pPr>
      <w:r w:rsidRPr="004259CB">
        <w:t xml:space="preserve">The following Recommendations are </w:t>
      </w:r>
      <w:r w:rsidRPr="004259CB">
        <w:rPr>
          <w:b/>
        </w:rPr>
        <w:t>Informative</w:t>
      </w:r>
      <w:r w:rsidRPr="004259CB">
        <w:t xml:space="preserve"> provisions and </w:t>
      </w:r>
      <w:r w:rsidRPr="003900E0">
        <w:rPr>
          <w:b/>
        </w:rPr>
        <w:t>should</w:t>
      </w:r>
      <w:r w:rsidRPr="004259CB">
        <w:t xml:space="preserve"> be observed if compliance with this Standard is claimed.</w:t>
      </w:r>
    </w:p>
    <w:tbl>
      <w:tblPr>
        <w:tblStyle w:val="TableGrid"/>
        <w:tblW w:w="0" w:type="auto"/>
        <w:jc w:val="center"/>
        <w:tblLayout w:type="fixed"/>
        <w:tblLook w:val="04A0" w:firstRow="1" w:lastRow="0" w:firstColumn="1" w:lastColumn="0" w:noHBand="0" w:noVBand="1"/>
      </w:tblPr>
      <w:tblGrid>
        <w:gridCol w:w="2526"/>
        <w:gridCol w:w="984"/>
        <w:gridCol w:w="6237"/>
      </w:tblGrid>
      <w:tr w:rsidR="004259CB" w:rsidRPr="004259CB" w14:paraId="32397F63" w14:textId="77777777" w:rsidTr="004259CB">
        <w:trPr>
          <w:jc w:val="center"/>
        </w:trPr>
        <w:tc>
          <w:tcPr>
            <w:tcW w:w="2526" w:type="dxa"/>
          </w:tcPr>
          <w:p w14:paraId="2B755108" w14:textId="77777777" w:rsidR="004259CB" w:rsidRPr="004259CB" w:rsidRDefault="004259CB" w:rsidP="00BA0EEF">
            <w:pPr>
              <w:spacing w:before="120" w:after="120"/>
              <w:rPr>
                <w:b/>
                <w:sz w:val="22"/>
                <w:lang w:val="en-GB"/>
              </w:rPr>
            </w:pPr>
            <w:r w:rsidRPr="004259CB">
              <w:rPr>
                <w:b/>
                <w:sz w:val="22"/>
                <w:lang w:val="en-GB"/>
              </w:rPr>
              <w:t>Scope</w:t>
            </w:r>
          </w:p>
        </w:tc>
        <w:tc>
          <w:tcPr>
            <w:tcW w:w="984" w:type="dxa"/>
          </w:tcPr>
          <w:p w14:paraId="4EB2587A" w14:textId="77777777" w:rsidR="004259CB" w:rsidRPr="004259CB" w:rsidRDefault="004259CB" w:rsidP="00BA0EEF">
            <w:pPr>
              <w:spacing w:before="120" w:after="120"/>
              <w:rPr>
                <w:b/>
                <w:sz w:val="22"/>
                <w:lang w:val="en-GB"/>
              </w:rPr>
            </w:pPr>
            <w:r w:rsidRPr="004259CB">
              <w:rPr>
                <w:b/>
                <w:sz w:val="22"/>
                <w:lang w:val="en-GB"/>
              </w:rPr>
              <w:t>Number</w:t>
            </w:r>
          </w:p>
        </w:tc>
        <w:tc>
          <w:tcPr>
            <w:tcW w:w="6237" w:type="dxa"/>
          </w:tcPr>
          <w:p w14:paraId="2AF91F7B" w14:textId="77777777" w:rsidR="004259CB" w:rsidRPr="004259CB" w:rsidRDefault="004259CB" w:rsidP="00BA0EEF">
            <w:pPr>
              <w:spacing w:before="120" w:after="120"/>
              <w:rPr>
                <w:b/>
                <w:sz w:val="22"/>
                <w:lang w:val="en-GB"/>
              </w:rPr>
            </w:pPr>
            <w:r w:rsidRPr="004259CB">
              <w:rPr>
                <w:b/>
                <w:sz w:val="22"/>
                <w:lang w:val="en-GB"/>
              </w:rPr>
              <w:t>Title</w:t>
            </w:r>
          </w:p>
        </w:tc>
      </w:tr>
      <w:tr w:rsidR="00085375" w:rsidRPr="004259CB" w14:paraId="32C32897" w14:textId="77777777" w:rsidTr="004259CB">
        <w:trPr>
          <w:jc w:val="center"/>
        </w:trPr>
        <w:tc>
          <w:tcPr>
            <w:tcW w:w="2526" w:type="dxa"/>
          </w:tcPr>
          <w:p w14:paraId="6B2F0F4B" w14:textId="2B8BD3A3" w:rsidR="00085375" w:rsidRPr="004259CB" w:rsidRDefault="00085375" w:rsidP="00BA0EEF">
            <w:pPr>
              <w:spacing w:before="120" w:after="120"/>
              <w:rPr>
                <w:b/>
                <w:sz w:val="22"/>
                <w:lang w:val="en-GB"/>
              </w:rPr>
            </w:pPr>
            <w:r>
              <w:rPr>
                <w:b/>
                <w:sz w:val="22"/>
                <w:lang w:val="en-GB"/>
              </w:rPr>
              <w:t>Visual Aids to Navigation</w:t>
            </w:r>
          </w:p>
        </w:tc>
        <w:tc>
          <w:tcPr>
            <w:tcW w:w="984" w:type="dxa"/>
          </w:tcPr>
          <w:p w14:paraId="076A98C6" w14:textId="003FC954" w:rsidR="00085375" w:rsidRPr="004259CB" w:rsidRDefault="00085375" w:rsidP="00BA0EEF">
            <w:pPr>
              <w:spacing w:before="120" w:after="120"/>
              <w:rPr>
                <w:sz w:val="22"/>
                <w:lang w:val="en-GB"/>
              </w:rPr>
            </w:pPr>
            <w:r>
              <w:rPr>
                <w:sz w:val="22"/>
                <w:lang w:val="en-GB"/>
              </w:rPr>
              <w:t>E-106</w:t>
            </w:r>
          </w:p>
        </w:tc>
        <w:tc>
          <w:tcPr>
            <w:tcW w:w="6237" w:type="dxa"/>
          </w:tcPr>
          <w:p w14:paraId="1F73A665" w14:textId="637C1DB0" w:rsidR="00085375" w:rsidRPr="004259CB" w:rsidRDefault="00085375" w:rsidP="00BA0EEF">
            <w:pPr>
              <w:spacing w:before="120" w:after="120"/>
              <w:rPr>
                <w:sz w:val="22"/>
                <w:lang w:val="en-GB"/>
              </w:rPr>
            </w:pPr>
            <w:r w:rsidRPr="00085375">
              <w:rPr>
                <w:sz w:val="22"/>
                <w:lang w:val="en-GB"/>
              </w:rPr>
              <w:t>The Use of Retroreflecting Material On Aids To Navigation Marks Within The IALA Maritime Buoyage System</w:t>
            </w:r>
          </w:p>
        </w:tc>
      </w:tr>
      <w:tr w:rsidR="00D75F79" w:rsidRPr="004259CB" w14:paraId="67478C7F" w14:textId="77777777" w:rsidTr="004259CB">
        <w:trPr>
          <w:jc w:val="center"/>
        </w:trPr>
        <w:tc>
          <w:tcPr>
            <w:tcW w:w="2526" w:type="dxa"/>
            <w:vMerge w:val="restart"/>
          </w:tcPr>
          <w:p w14:paraId="3F23C593" w14:textId="57CD77D8" w:rsidR="00D75F79" w:rsidRPr="004259CB" w:rsidRDefault="00D75F79" w:rsidP="00BA0EEF">
            <w:pPr>
              <w:spacing w:before="120" w:after="120"/>
              <w:rPr>
                <w:b/>
                <w:sz w:val="22"/>
                <w:lang w:val="en-GB"/>
              </w:rPr>
            </w:pPr>
            <w:r w:rsidRPr="00085375">
              <w:rPr>
                <w:b/>
                <w:sz w:val="22"/>
                <w:lang w:val="en-GB"/>
              </w:rPr>
              <w:t>Range and Performance</w:t>
            </w:r>
          </w:p>
        </w:tc>
        <w:tc>
          <w:tcPr>
            <w:tcW w:w="984" w:type="dxa"/>
          </w:tcPr>
          <w:p w14:paraId="5A5F7DEE" w14:textId="3EE21831" w:rsidR="00D75F79" w:rsidRPr="004259CB" w:rsidRDefault="00D75F79" w:rsidP="00BA0EEF">
            <w:pPr>
              <w:spacing w:before="120" w:after="120"/>
              <w:rPr>
                <w:sz w:val="22"/>
                <w:lang w:val="en-GB"/>
              </w:rPr>
            </w:pPr>
            <w:r>
              <w:rPr>
                <w:sz w:val="22"/>
                <w:lang w:val="en-GB"/>
              </w:rPr>
              <w:t>E-200-0</w:t>
            </w:r>
          </w:p>
        </w:tc>
        <w:tc>
          <w:tcPr>
            <w:tcW w:w="6237" w:type="dxa"/>
          </w:tcPr>
          <w:p w14:paraId="1C6EF206" w14:textId="764DC0AE" w:rsidR="00D75F79" w:rsidRPr="004259CB" w:rsidRDefault="00D75F79" w:rsidP="00BA0EEF">
            <w:pPr>
              <w:spacing w:before="120" w:after="120"/>
              <w:rPr>
                <w:sz w:val="22"/>
                <w:lang w:val="en-GB"/>
              </w:rPr>
            </w:pPr>
            <w:r w:rsidRPr="00085375">
              <w:rPr>
                <w:sz w:val="22"/>
                <w:lang w:val="en-GB"/>
              </w:rPr>
              <w:t>Marine Signal Lights Part 0 - Overview</w:t>
            </w:r>
          </w:p>
        </w:tc>
      </w:tr>
      <w:tr w:rsidR="00D75F79" w:rsidRPr="004259CB" w14:paraId="39A8871E" w14:textId="77777777" w:rsidTr="004259CB">
        <w:trPr>
          <w:jc w:val="center"/>
        </w:trPr>
        <w:tc>
          <w:tcPr>
            <w:tcW w:w="2526" w:type="dxa"/>
            <w:vMerge/>
          </w:tcPr>
          <w:p w14:paraId="4ED2A865" w14:textId="77777777" w:rsidR="00D75F79" w:rsidRPr="004259CB" w:rsidRDefault="00D75F79" w:rsidP="00BA0EEF">
            <w:pPr>
              <w:spacing w:before="120" w:after="120"/>
              <w:rPr>
                <w:b/>
                <w:sz w:val="22"/>
                <w:lang w:val="en-GB"/>
              </w:rPr>
            </w:pPr>
          </w:p>
        </w:tc>
        <w:tc>
          <w:tcPr>
            <w:tcW w:w="984" w:type="dxa"/>
          </w:tcPr>
          <w:p w14:paraId="02930E80" w14:textId="076B3299" w:rsidR="00D75F79" w:rsidRPr="004259CB" w:rsidRDefault="00D75F79" w:rsidP="00BA0EEF">
            <w:pPr>
              <w:spacing w:before="120" w:after="120"/>
              <w:rPr>
                <w:sz w:val="22"/>
                <w:lang w:val="en-GB"/>
              </w:rPr>
            </w:pPr>
            <w:r>
              <w:rPr>
                <w:sz w:val="22"/>
                <w:lang w:val="en-GB"/>
              </w:rPr>
              <w:t>E-200-3</w:t>
            </w:r>
          </w:p>
        </w:tc>
        <w:tc>
          <w:tcPr>
            <w:tcW w:w="6237" w:type="dxa"/>
          </w:tcPr>
          <w:p w14:paraId="5E9FF5E0" w14:textId="5795C918" w:rsidR="00D75F79" w:rsidRPr="004259CB" w:rsidRDefault="00D75F79" w:rsidP="00BA0EEF">
            <w:pPr>
              <w:spacing w:before="120" w:after="120"/>
              <w:rPr>
                <w:sz w:val="22"/>
                <w:lang w:val="en-GB"/>
              </w:rPr>
            </w:pPr>
            <w:r w:rsidRPr="00085375">
              <w:rPr>
                <w:sz w:val="22"/>
                <w:lang w:val="en-GB"/>
              </w:rPr>
              <w:t>Marine Signal Lights Part 3 - Measurement</w:t>
            </w:r>
          </w:p>
        </w:tc>
      </w:tr>
      <w:tr w:rsidR="00D75F79" w:rsidRPr="004259CB" w14:paraId="00D0FC53" w14:textId="77777777" w:rsidTr="004259CB">
        <w:trPr>
          <w:jc w:val="center"/>
        </w:trPr>
        <w:tc>
          <w:tcPr>
            <w:tcW w:w="2526" w:type="dxa"/>
            <w:vMerge/>
          </w:tcPr>
          <w:p w14:paraId="1154543B" w14:textId="77777777" w:rsidR="00D75F79" w:rsidRPr="004259CB" w:rsidRDefault="00D75F79" w:rsidP="00BA0EEF">
            <w:pPr>
              <w:spacing w:before="120" w:after="120"/>
              <w:rPr>
                <w:b/>
                <w:sz w:val="22"/>
                <w:lang w:val="en-GB"/>
              </w:rPr>
            </w:pPr>
          </w:p>
        </w:tc>
        <w:tc>
          <w:tcPr>
            <w:tcW w:w="984" w:type="dxa"/>
          </w:tcPr>
          <w:p w14:paraId="6B30161A" w14:textId="28508C64" w:rsidR="00D75F79" w:rsidRPr="004259CB" w:rsidRDefault="00D75F79" w:rsidP="00BA0EEF">
            <w:pPr>
              <w:spacing w:before="120" w:after="120"/>
              <w:rPr>
                <w:sz w:val="22"/>
                <w:lang w:val="en-GB"/>
              </w:rPr>
            </w:pPr>
            <w:r>
              <w:rPr>
                <w:sz w:val="22"/>
                <w:lang w:val="en-GB"/>
              </w:rPr>
              <w:t>E-200-4</w:t>
            </w:r>
          </w:p>
        </w:tc>
        <w:tc>
          <w:tcPr>
            <w:tcW w:w="6237" w:type="dxa"/>
          </w:tcPr>
          <w:p w14:paraId="2ECCC5E7" w14:textId="12180967" w:rsidR="00D75F79" w:rsidRPr="004259CB" w:rsidRDefault="00D75F79" w:rsidP="00BA0EEF">
            <w:pPr>
              <w:spacing w:before="120" w:after="120"/>
              <w:rPr>
                <w:sz w:val="22"/>
                <w:lang w:val="en-GB"/>
              </w:rPr>
            </w:pPr>
            <w:r w:rsidRPr="00085375">
              <w:rPr>
                <w:sz w:val="22"/>
                <w:lang w:val="en-GB"/>
              </w:rPr>
              <w:t>Marine Signal Lights Part 4 - Determination and Calculation of Effective Intensity</w:t>
            </w:r>
          </w:p>
        </w:tc>
      </w:tr>
      <w:tr w:rsidR="00D75F79" w:rsidRPr="004259CB" w14:paraId="29C0598B" w14:textId="77777777" w:rsidTr="004259CB">
        <w:trPr>
          <w:jc w:val="center"/>
        </w:trPr>
        <w:tc>
          <w:tcPr>
            <w:tcW w:w="2526" w:type="dxa"/>
            <w:vMerge/>
          </w:tcPr>
          <w:p w14:paraId="442EA80A" w14:textId="77777777" w:rsidR="00D75F79" w:rsidRPr="004259CB" w:rsidRDefault="00D75F79" w:rsidP="00BA0EEF">
            <w:pPr>
              <w:spacing w:before="120" w:after="120"/>
              <w:rPr>
                <w:b/>
                <w:sz w:val="22"/>
                <w:lang w:val="en-GB"/>
              </w:rPr>
            </w:pPr>
          </w:p>
        </w:tc>
        <w:tc>
          <w:tcPr>
            <w:tcW w:w="984" w:type="dxa"/>
          </w:tcPr>
          <w:p w14:paraId="4CF16F68" w14:textId="3F2D6D97" w:rsidR="00D75F79" w:rsidRPr="004259CB" w:rsidRDefault="00D75F79" w:rsidP="00BA0EEF">
            <w:pPr>
              <w:spacing w:before="120" w:after="120"/>
              <w:rPr>
                <w:sz w:val="22"/>
                <w:lang w:val="en-GB"/>
              </w:rPr>
            </w:pPr>
            <w:r>
              <w:rPr>
                <w:sz w:val="22"/>
                <w:lang w:val="en-GB"/>
              </w:rPr>
              <w:t>E-200-5</w:t>
            </w:r>
          </w:p>
        </w:tc>
        <w:tc>
          <w:tcPr>
            <w:tcW w:w="6237" w:type="dxa"/>
          </w:tcPr>
          <w:p w14:paraId="654BD893" w14:textId="6964036E" w:rsidR="00D75F79" w:rsidRPr="004259CB" w:rsidRDefault="00D75F79" w:rsidP="00BA0EEF">
            <w:pPr>
              <w:spacing w:before="120" w:after="120"/>
              <w:rPr>
                <w:sz w:val="22"/>
                <w:lang w:val="en-GB"/>
              </w:rPr>
            </w:pPr>
            <w:r w:rsidRPr="00085375">
              <w:rPr>
                <w:sz w:val="22"/>
                <w:lang w:val="en-GB"/>
              </w:rPr>
              <w:t>Marine Signal Lights Part 5 - Estimation of the Performance of Optical Apparatus</w:t>
            </w:r>
          </w:p>
        </w:tc>
      </w:tr>
      <w:tr w:rsidR="00D75F79" w:rsidRPr="004259CB" w14:paraId="5EC60D97" w14:textId="77777777" w:rsidTr="004259CB">
        <w:trPr>
          <w:jc w:val="center"/>
        </w:trPr>
        <w:tc>
          <w:tcPr>
            <w:tcW w:w="2526" w:type="dxa"/>
            <w:vMerge/>
          </w:tcPr>
          <w:p w14:paraId="6BADD63B" w14:textId="77777777" w:rsidR="00D75F79" w:rsidRPr="004259CB" w:rsidRDefault="00D75F79" w:rsidP="00BA0EEF">
            <w:pPr>
              <w:spacing w:before="120" w:after="120"/>
              <w:rPr>
                <w:b/>
                <w:sz w:val="22"/>
                <w:lang w:val="en-GB"/>
              </w:rPr>
            </w:pPr>
          </w:p>
        </w:tc>
        <w:tc>
          <w:tcPr>
            <w:tcW w:w="984" w:type="dxa"/>
          </w:tcPr>
          <w:p w14:paraId="070081DC" w14:textId="70EB7145" w:rsidR="00D75F79" w:rsidRDefault="00D75F79" w:rsidP="00BA0EEF">
            <w:pPr>
              <w:spacing w:before="120" w:after="120"/>
              <w:rPr>
                <w:sz w:val="22"/>
                <w:lang w:val="en-GB"/>
              </w:rPr>
            </w:pPr>
            <w:r>
              <w:rPr>
                <w:sz w:val="22"/>
                <w:lang w:val="en-GB"/>
              </w:rPr>
              <w:t>E-109</w:t>
            </w:r>
          </w:p>
        </w:tc>
        <w:tc>
          <w:tcPr>
            <w:tcW w:w="6237" w:type="dxa"/>
          </w:tcPr>
          <w:p w14:paraId="3982821B" w14:textId="4523CD4C" w:rsidR="00D75F79" w:rsidRPr="00085375" w:rsidRDefault="00D75F79" w:rsidP="00BA0EEF">
            <w:pPr>
              <w:spacing w:before="120" w:after="120"/>
              <w:rPr>
                <w:sz w:val="22"/>
                <w:lang w:val="en-GB"/>
              </w:rPr>
            </w:pPr>
            <w:r w:rsidRPr="00D75F79">
              <w:rPr>
                <w:sz w:val="22"/>
                <w:lang w:val="en-GB"/>
              </w:rPr>
              <w:t>The Calculation Of The Range Of A Sound Signal</w:t>
            </w:r>
          </w:p>
        </w:tc>
      </w:tr>
      <w:tr w:rsidR="00085375" w:rsidRPr="004259CB" w14:paraId="4B8879CA" w14:textId="77777777" w:rsidTr="004259CB">
        <w:trPr>
          <w:jc w:val="center"/>
        </w:trPr>
        <w:tc>
          <w:tcPr>
            <w:tcW w:w="2526" w:type="dxa"/>
          </w:tcPr>
          <w:p w14:paraId="5337F0AD" w14:textId="1A610787" w:rsidR="00085375" w:rsidRPr="004259CB" w:rsidRDefault="00085375" w:rsidP="00BA0EEF">
            <w:pPr>
              <w:spacing w:before="120" w:after="120"/>
              <w:rPr>
                <w:b/>
                <w:sz w:val="22"/>
                <w:lang w:val="en-GB"/>
              </w:rPr>
            </w:pPr>
            <w:r w:rsidRPr="00085375">
              <w:rPr>
                <w:b/>
                <w:sz w:val="22"/>
                <w:lang w:val="en-GB"/>
              </w:rPr>
              <w:lastRenderedPageBreak/>
              <w:t>Design, Implementation &amp; Maintenance</w:t>
            </w:r>
          </w:p>
        </w:tc>
        <w:tc>
          <w:tcPr>
            <w:tcW w:w="984" w:type="dxa"/>
          </w:tcPr>
          <w:p w14:paraId="24190C1E" w14:textId="61CA5D81" w:rsidR="00085375" w:rsidRPr="004259CB" w:rsidRDefault="00B12B0A" w:rsidP="00BA0EEF">
            <w:pPr>
              <w:spacing w:before="120" w:after="120"/>
              <w:rPr>
                <w:sz w:val="22"/>
                <w:lang w:val="en-GB"/>
              </w:rPr>
            </w:pPr>
            <w:r>
              <w:rPr>
                <w:sz w:val="22"/>
                <w:lang w:val="en-GB"/>
              </w:rPr>
              <w:t>A-126</w:t>
            </w:r>
          </w:p>
        </w:tc>
        <w:tc>
          <w:tcPr>
            <w:tcW w:w="6237" w:type="dxa"/>
          </w:tcPr>
          <w:p w14:paraId="6FF2AA9F" w14:textId="729C5910" w:rsidR="00085375" w:rsidRPr="004259CB" w:rsidRDefault="00B12B0A" w:rsidP="00BA0EEF">
            <w:pPr>
              <w:spacing w:before="120" w:after="120"/>
              <w:rPr>
                <w:sz w:val="22"/>
                <w:lang w:val="en-GB"/>
              </w:rPr>
            </w:pPr>
            <w:r w:rsidRPr="00B12B0A">
              <w:rPr>
                <w:sz w:val="22"/>
                <w:lang w:val="en-GB"/>
              </w:rPr>
              <w:t>Use of the AIS in Marine Aids to Navigation Service</w:t>
            </w:r>
          </w:p>
        </w:tc>
      </w:tr>
      <w:tr w:rsidR="00085375" w:rsidRPr="004259CB" w14:paraId="689D1BCF" w14:textId="77777777" w:rsidTr="004259CB">
        <w:trPr>
          <w:jc w:val="center"/>
        </w:trPr>
        <w:tc>
          <w:tcPr>
            <w:tcW w:w="2526" w:type="dxa"/>
          </w:tcPr>
          <w:p w14:paraId="4DB5271A" w14:textId="7311AAD4" w:rsidR="00085375" w:rsidRPr="004259CB" w:rsidRDefault="00B12B0A" w:rsidP="00BA0EEF">
            <w:pPr>
              <w:spacing w:before="120" w:after="120"/>
              <w:rPr>
                <w:b/>
                <w:sz w:val="22"/>
                <w:lang w:val="en-GB"/>
              </w:rPr>
            </w:pPr>
            <w:r>
              <w:rPr>
                <w:b/>
                <w:sz w:val="22"/>
                <w:lang w:val="en-GB"/>
              </w:rPr>
              <w:t>Floating Aids to navigation</w:t>
            </w:r>
          </w:p>
        </w:tc>
        <w:tc>
          <w:tcPr>
            <w:tcW w:w="984" w:type="dxa"/>
          </w:tcPr>
          <w:p w14:paraId="39A9FFCA" w14:textId="07D37623" w:rsidR="00085375" w:rsidRPr="004259CB" w:rsidRDefault="00B12B0A" w:rsidP="00BA0EEF">
            <w:pPr>
              <w:spacing w:before="120" w:after="120"/>
              <w:rPr>
                <w:sz w:val="22"/>
                <w:lang w:val="en-GB"/>
              </w:rPr>
            </w:pPr>
            <w:r>
              <w:rPr>
                <w:sz w:val="22"/>
                <w:lang w:val="en-GB"/>
              </w:rPr>
              <w:t>E-107</w:t>
            </w:r>
          </w:p>
        </w:tc>
        <w:tc>
          <w:tcPr>
            <w:tcW w:w="6237" w:type="dxa"/>
          </w:tcPr>
          <w:p w14:paraId="49C6BF13" w14:textId="63F84731" w:rsidR="00085375" w:rsidRPr="004259CB" w:rsidRDefault="00B12B0A" w:rsidP="00BA0EEF">
            <w:pPr>
              <w:spacing w:before="120" w:after="120"/>
              <w:rPr>
                <w:sz w:val="22"/>
                <w:lang w:val="en-GB"/>
              </w:rPr>
            </w:pPr>
            <w:r w:rsidRPr="00B12B0A">
              <w:rPr>
                <w:sz w:val="22"/>
                <w:lang w:val="en-GB"/>
              </w:rPr>
              <w:t>Moorings for Floating Aids to Navigation</w:t>
            </w:r>
          </w:p>
        </w:tc>
      </w:tr>
    </w:tbl>
    <w:p w14:paraId="15E28DF8" w14:textId="77777777" w:rsidR="002607B7" w:rsidRDefault="002607B7" w:rsidP="002607B7">
      <w:pPr>
        <w:autoSpaceDE w:val="0"/>
        <w:autoSpaceDN w:val="0"/>
        <w:adjustRightInd w:val="0"/>
        <w:spacing w:line="240" w:lineRule="auto"/>
        <w:rPr>
          <w:rFonts w:ascii="Tahoma" w:hAnsi="Tahoma" w:cs="Tahoma"/>
          <w:sz w:val="20"/>
          <w:szCs w:val="20"/>
          <w:lang w:val="en-GB"/>
        </w:rPr>
      </w:pPr>
      <w:r w:rsidRPr="002607B7">
        <w:rPr>
          <w:rFonts w:ascii="Tahoma" w:hAnsi="Tahoma" w:cs="Tahoma"/>
          <w:color w:val="000000"/>
          <w:sz w:val="20"/>
          <w:szCs w:val="20"/>
          <w:highlight w:val="yellow"/>
          <w:lang w:val="en-GB"/>
        </w:rPr>
        <w:t>Offline check to see if there are any other IALA recommendations that should be referenced.</w:t>
      </w:r>
      <w:r>
        <w:rPr>
          <w:rFonts w:ascii="Tahoma" w:hAnsi="Tahoma" w:cs="Tahoma"/>
          <w:color w:val="000000"/>
          <w:sz w:val="20"/>
          <w:szCs w:val="20"/>
          <w:lang w:val="en-GB"/>
        </w:rPr>
        <w:t xml:space="preserve"> </w:t>
      </w:r>
    </w:p>
    <w:p w14:paraId="1AA137AB" w14:textId="77777777" w:rsidR="004259CB" w:rsidRPr="004259CB" w:rsidRDefault="004259CB" w:rsidP="004259CB">
      <w:pPr>
        <w:rPr>
          <w:lang w:val="en-GB"/>
        </w:rPr>
      </w:pPr>
    </w:p>
    <w:p w14:paraId="35E154AB" w14:textId="46A55693" w:rsidR="004259CB" w:rsidRPr="004259CB" w:rsidRDefault="004259CB" w:rsidP="004259CB">
      <w:pPr>
        <w:pStyle w:val="Heading1"/>
        <w:tabs>
          <w:tab w:val="clear" w:pos="0"/>
        </w:tabs>
        <w:spacing w:before="0"/>
        <w:ind w:left="0" w:firstLine="0"/>
        <w:rPr>
          <w:caps w:val="0"/>
        </w:rPr>
      </w:pPr>
      <w:bookmarkStart w:id="24" w:name="_Toc464136443"/>
      <w:bookmarkStart w:id="25" w:name="_Toc464139609"/>
      <w:r w:rsidRPr="004259CB">
        <w:rPr>
          <w:caps w:val="0"/>
        </w:rPr>
        <w:t>SUPPLEMENTARY ELEMENTS</w:t>
      </w:r>
      <w:bookmarkStart w:id="26" w:name="_GoBack"/>
      <w:bookmarkEnd w:id="24"/>
      <w:bookmarkEnd w:id="25"/>
      <w:bookmarkEnd w:id="26"/>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BodyText"/>
      </w:pPr>
      <w:r w:rsidRPr="004259CB">
        <w:t>There are no supplementary elements to this Standard.</w:t>
      </w:r>
    </w:p>
    <w:p w14:paraId="54692D7F" w14:textId="2977FB14" w:rsidR="004259CB" w:rsidRPr="004259CB" w:rsidRDefault="004259CB" w:rsidP="004259CB">
      <w:pPr>
        <w:pStyle w:val="Heading1"/>
        <w:tabs>
          <w:tab w:val="clear" w:pos="0"/>
        </w:tabs>
        <w:spacing w:before="0"/>
        <w:ind w:left="0" w:firstLine="0"/>
        <w:rPr>
          <w:caps w:val="0"/>
        </w:rPr>
      </w:pPr>
      <w:bookmarkStart w:id="27" w:name="_Toc464033448"/>
      <w:bookmarkStart w:id="28" w:name="_Toc464136444"/>
      <w:bookmarkStart w:id="29" w:name="_Toc464139610"/>
      <w:r w:rsidRPr="004259CB">
        <w:rPr>
          <w:caps w:val="0"/>
        </w:rPr>
        <w:t>ADOPTION OF AND AMENDMENT OF STANDARDS</w:t>
      </w:r>
      <w:bookmarkEnd w:id="27"/>
      <w:bookmarkEnd w:id="28"/>
      <w:bookmarkEnd w:id="29"/>
    </w:p>
    <w:p w14:paraId="62034E75" w14:textId="77777777" w:rsidR="004259CB" w:rsidRPr="004259CB" w:rsidRDefault="004259CB" w:rsidP="004259CB">
      <w:pPr>
        <w:pStyle w:val="Sparationtitre1"/>
        <w:rPr>
          <w:lang w:val="en-GB"/>
        </w:rPr>
      </w:pPr>
    </w:p>
    <w:p w14:paraId="33E5B8DE" w14:textId="77777777" w:rsidR="004259CB" w:rsidRPr="004259CB" w:rsidRDefault="004259CB" w:rsidP="004259CB">
      <w:pPr>
        <w:pStyle w:val="BodyText"/>
      </w:pPr>
      <w:r w:rsidRPr="004259CB">
        <w:t>IALA Standards may be adopted or amended by a majority vote at a General Assembly of national members.</w:t>
      </w:r>
    </w:p>
    <w:p w14:paraId="0EF1F8BD" w14:textId="77777777" w:rsidR="004259CB" w:rsidRPr="004259CB" w:rsidRDefault="004259CB" w:rsidP="004259CB">
      <w:pPr>
        <w:pStyle w:val="Textedesaisie"/>
        <w:rPr>
          <w:lang w:val="en-GB"/>
        </w:rPr>
      </w:pPr>
    </w:p>
    <w:p w14:paraId="73E02733" w14:textId="2DD47BCC" w:rsidR="004259CB" w:rsidRPr="004259CB" w:rsidRDefault="004259CB" w:rsidP="004259CB">
      <w:pPr>
        <w:pStyle w:val="Heading1"/>
        <w:tabs>
          <w:tab w:val="clear" w:pos="0"/>
        </w:tabs>
        <w:spacing w:before="0"/>
        <w:ind w:left="0" w:firstLine="0"/>
        <w:rPr>
          <w:caps w:val="0"/>
        </w:rPr>
      </w:pPr>
      <w:bookmarkStart w:id="30" w:name="_Toc464033449"/>
      <w:bookmarkStart w:id="31" w:name="_Toc455589152"/>
      <w:bookmarkStart w:id="32" w:name="_Toc455589153"/>
      <w:bookmarkStart w:id="33" w:name="_Toc455589154"/>
      <w:bookmarkStart w:id="34" w:name="_Toc455589155"/>
      <w:bookmarkStart w:id="35" w:name="_Toc455589156"/>
      <w:bookmarkStart w:id="36" w:name="_Toc455589157"/>
      <w:bookmarkStart w:id="37" w:name="_Toc455589158"/>
      <w:bookmarkStart w:id="38" w:name="_Toc455589159"/>
      <w:bookmarkStart w:id="39" w:name="_Toc455589160"/>
      <w:bookmarkStart w:id="40" w:name="_Toc455589161"/>
      <w:bookmarkStart w:id="41" w:name="_Toc455589162"/>
      <w:bookmarkStart w:id="42" w:name="_Toc455589163"/>
      <w:bookmarkStart w:id="43" w:name="_Toc455589164"/>
      <w:bookmarkStart w:id="44" w:name="_Toc455589165"/>
      <w:bookmarkStart w:id="45" w:name="_Toc455589166"/>
      <w:bookmarkStart w:id="46" w:name="_Toc455589167"/>
      <w:bookmarkStart w:id="47" w:name="_Toc455589168"/>
      <w:bookmarkStart w:id="48" w:name="_Toc455589169"/>
      <w:bookmarkStart w:id="49" w:name="_Toc455589170"/>
      <w:bookmarkStart w:id="50" w:name="_Toc455589171"/>
      <w:bookmarkStart w:id="51" w:name="_Toc464033450"/>
      <w:bookmarkStart w:id="52" w:name="_Toc464033451"/>
      <w:bookmarkStart w:id="53" w:name="_Toc432687611"/>
      <w:bookmarkStart w:id="54" w:name="_Toc464033452"/>
      <w:bookmarkStart w:id="55" w:name="_Toc464136445"/>
      <w:bookmarkStart w:id="56" w:name="_Toc464139611"/>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4259CB">
        <w:rPr>
          <w:caps w:val="0"/>
        </w:rPr>
        <w:t>DOCUMENT HISTORY</w:t>
      </w:r>
      <w:bookmarkEnd w:id="53"/>
      <w:bookmarkEnd w:id="54"/>
      <w:bookmarkEnd w:id="55"/>
      <w:bookmarkEnd w:id="56"/>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TableGrid"/>
        <w:tblW w:w="9780" w:type="dxa"/>
        <w:tblInd w:w="534" w:type="dxa"/>
        <w:tblLook w:val="04A0" w:firstRow="1" w:lastRow="0" w:firstColumn="1" w:lastColumn="0" w:noHBand="0" w:noVBand="1"/>
      </w:tblPr>
      <w:tblGrid>
        <w:gridCol w:w="1417"/>
        <w:gridCol w:w="2268"/>
        <w:gridCol w:w="6095"/>
      </w:tblGrid>
      <w:tr w:rsidR="004259CB" w:rsidRPr="004259CB" w14:paraId="581D63EC" w14:textId="77777777" w:rsidTr="00BA0EEF">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77777777" w:rsidR="004259CB" w:rsidRPr="00BA0733" w:rsidRDefault="004259CB" w:rsidP="00BA0733">
            <w:pPr>
              <w:spacing w:before="120" w:after="120"/>
              <w:rPr>
                <w:b/>
                <w:sz w:val="22"/>
                <w:lang w:val="en-GB"/>
              </w:rPr>
            </w:pPr>
            <w:r w:rsidRPr="00BA0733">
              <w:rPr>
                <w:b/>
                <w:sz w:val="22"/>
                <w:lang w:val="en-GB"/>
              </w:rPr>
              <w:t>Amendment Details</w:t>
            </w:r>
          </w:p>
        </w:tc>
        <w:tc>
          <w:tcPr>
            <w:tcW w:w="6095"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BA0EEF">
        <w:tc>
          <w:tcPr>
            <w:tcW w:w="1417" w:type="dxa"/>
            <w:vAlign w:val="center"/>
          </w:tcPr>
          <w:p w14:paraId="7A8F493F" w14:textId="77777777" w:rsidR="004259CB" w:rsidRPr="00BA0733" w:rsidRDefault="004259CB" w:rsidP="00BA0733">
            <w:pPr>
              <w:spacing w:before="120" w:after="120"/>
              <w:rPr>
                <w:sz w:val="22"/>
                <w:lang w:val="en-GB"/>
              </w:rPr>
            </w:pPr>
            <w:r w:rsidRPr="00BA0733">
              <w:rPr>
                <w:sz w:val="22"/>
                <w:lang w:val="en-GB"/>
              </w:rPr>
              <w:t>2018-06-01</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095" w:type="dxa"/>
            <w:vAlign w:val="center"/>
          </w:tcPr>
          <w:p w14:paraId="3E3AE685" w14:textId="77777777" w:rsidR="004259CB" w:rsidRPr="00BA0733" w:rsidRDefault="004259CB" w:rsidP="00BA0733">
            <w:pPr>
              <w:spacing w:before="120" w:after="120"/>
              <w:rPr>
                <w:sz w:val="22"/>
                <w:lang w:val="en-GB"/>
              </w:rPr>
            </w:pPr>
            <w:r w:rsidRPr="00BA0733">
              <w:rPr>
                <w:sz w:val="22"/>
                <w:lang w:val="en-GB"/>
              </w:rPr>
              <w:t>General Assembly Resolution, Incheon, Korea, May 2018.</w:t>
            </w:r>
          </w:p>
        </w:tc>
      </w:tr>
    </w:tbl>
    <w:p w14:paraId="5D2874E0" w14:textId="77777777" w:rsidR="00AB326D" w:rsidRPr="004259CB" w:rsidRDefault="00AB326D" w:rsidP="004259CB">
      <w:pPr>
        <w:pStyle w:val="BodyText"/>
      </w:pPr>
    </w:p>
    <w:sectPr w:rsidR="00AB326D" w:rsidRPr="004259CB" w:rsidSect="00480184">
      <w:headerReference w:type="even" r:id="rId16"/>
      <w:headerReference w:type="default" r:id="rId17"/>
      <w:headerReference w:type="first" r:id="rId18"/>
      <w:pgSz w:w="11906" w:h="16838" w:code="9"/>
      <w:pgMar w:top="567" w:right="794" w:bottom="567" w:left="907" w:header="567"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63DE87" w14:textId="77777777" w:rsidR="00E41E70" w:rsidRDefault="00E41E70" w:rsidP="003274DB">
      <w:r>
        <w:separator/>
      </w:r>
    </w:p>
  </w:endnote>
  <w:endnote w:type="continuationSeparator" w:id="0">
    <w:p w14:paraId="14DA2292" w14:textId="77777777" w:rsidR="00E41E70" w:rsidRDefault="00E41E70"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681B2" w14:textId="77777777" w:rsidR="00857580" w:rsidRDefault="00857580" w:rsidP="008747E0">
    <w:pPr>
      <w:pStyle w:val="Footer"/>
      <w:rPr>
        <w:lang w:val="en-GB"/>
      </w:rPr>
    </w:pPr>
    <w:r>
      <w:rPr>
        <w:noProof/>
        <w:lang w:val="en-GB" w:eastAsia="en-GB"/>
      </w:rPr>
      <mc:AlternateContent>
        <mc:Choice Requires="wps">
          <w:drawing>
            <wp:anchor distT="0" distB="0" distL="114300" distR="114300" simplePos="0" relativeHeight="251651584" behindDoc="0" locked="0" layoutInCell="1" allowOverlap="1" wp14:anchorId="7BFBF8D0" wp14:editId="0668B86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4D528FE" id="Connecteur droit 11"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77777777" w:rsidR="00857580" w:rsidRPr="00ED2A8D" w:rsidRDefault="00857580" w:rsidP="008747E0">
    <w:pPr>
      <w:pStyle w:val="Footer"/>
      <w:rPr>
        <w:lang w:val="en-GB"/>
      </w:rPr>
    </w:pPr>
    <w:r w:rsidRPr="00442889">
      <w:rPr>
        <w:noProof/>
        <w:lang w:val="en-GB" w:eastAsia="en-GB"/>
      </w:rPr>
      <w:drawing>
        <wp:anchor distT="0" distB="0" distL="114300" distR="114300" simplePos="0" relativeHeight="251650560" behindDoc="1" locked="0" layoutInCell="1" allowOverlap="1" wp14:anchorId="6E073939" wp14:editId="7A77897B">
          <wp:simplePos x="0" y="0"/>
          <wp:positionH relativeFrom="page">
            <wp:posOffset>543560</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77777777" w:rsidR="00857580" w:rsidRPr="00C907DF" w:rsidRDefault="002607B7" w:rsidP="00CB19DB">
    <w:pPr>
      <w:pStyle w:val="Footerportrait"/>
      <w:rPr>
        <w:rStyle w:val="PageNumber"/>
        <w:szCs w:val="15"/>
      </w:rPr>
    </w:pPr>
    <w:r>
      <w:fldChar w:fldCharType="begin"/>
    </w:r>
    <w:r>
      <w:instrText xml:space="preserve"> STYLEREF "Document type" \* MERGEFORMAT </w:instrText>
    </w:r>
    <w:r>
      <w:fldChar w:fldCharType="separate"/>
    </w:r>
    <w:r>
      <w:t>IALA Standard</w:t>
    </w:r>
    <w:r>
      <w:fldChar w:fldCharType="end"/>
    </w:r>
    <w:r w:rsidR="00857580" w:rsidRPr="00C907DF">
      <w:t xml:space="preserve"> </w:t>
    </w:r>
    <w:r>
      <w:fldChar w:fldCharType="begin"/>
    </w:r>
    <w:r>
      <w:instrText xml:space="preserve"> STYLEREF "Document number" \* MERGEFORMAT </w:instrText>
    </w:r>
    <w:r>
      <w:fldChar w:fldCharType="separate"/>
    </w:r>
    <w:r>
      <w:t>1020</w:t>
    </w:r>
    <w:r>
      <w:fldChar w:fldCharType="end"/>
    </w:r>
    <w:r w:rsidR="00857580" w:rsidRPr="00C907DF">
      <w:t xml:space="preserve"> –</w:t>
    </w:r>
    <w:r w:rsidR="00857580">
      <w:t xml:space="preserve"> </w:t>
    </w:r>
    <w:r>
      <w:fldChar w:fldCharType="begin"/>
    </w:r>
    <w:r>
      <w:instrText xml:space="preserve"> STYLEREF "Document name" \* MERGEFORMAT </w:instrText>
    </w:r>
    <w:r>
      <w:fldChar w:fldCharType="separate"/>
    </w:r>
    <w:r>
      <w:t>Aids to Navigation Design and Delivery</w:t>
    </w:r>
    <w:r>
      <w:fldChar w:fldCharType="end"/>
    </w:r>
  </w:p>
  <w:p w14:paraId="19BC5EB7" w14:textId="1902E40F" w:rsidR="00857580" w:rsidRPr="00CB19DB" w:rsidRDefault="002607B7" w:rsidP="00CB19DB">
    <w:pPr>
      <w:pStyle w:val="Footerportrait"/>
    </w:pPr>
    <w:r>
      <w:fldChar w:fldCharType="begin"/>
    </w:r>
    <w:r>
      <w:instrText xml:space="preserve"> STYLEREF "Edition number" \* MERGEFORMAT </w:instrText>
    </w:r>
    <w:r>
      <w:fldChar w:fldCharType="separate"/>
    </w:r>
    <w:r>
      <w:t>Edition 1.0</w:t>
    </w:r>
    <w:r>
      <w:fldChar w:fldCharType="end"/>
    </w:r>
    <w:r w:rsidR="00857580">
      <w:t xml:space="preserve">  </w:t>
    </w:r>
    <w:r>
      <w:fldChar w:fldCharType="begin"/>
    </w:r>
    <w:r>
      <w:instrText xml:space="preserve"> STYLEREF "Document date" \* MERGEFORMAT </w:instrText>
    </w:r>
    <w:r>
      <w:fldChar w:fldCharType="separate"/>
    </w:r>
    <w:r>
      <w:t>June 2018</w:t>
    </w:r>
    <w:r>
      <w:fldChar w:fldCharType="end"/>
    </w:r>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t>5</w:t>
    </w:r>
    <w:r w:rsidR="00857580" w:rsidRPr="00CB19D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588F77" w14:textId="77777777" w:rsidR="00E41E70" w:rsidRDefault="00E41E70" w:rsidP="003274DB">
      <w:r>
        <w:separator/>
      </w:r>
    </w:p>
  </w:footnote>
  <w:footnote w:type="continuationSeparator" w:id="0">
    <w:p w14:paraId="726C5A20" w14:textId="77777777" w:rsidR="00E41E70" w:rsidRDefault="00E41E70" w:rsidP="003274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2E84CD" w14:textId="68A4FD34" w:rsidR="005C4BB0" w:rsidRDefault="002607B7">
    <w:pPr>
      <w:pStyle w:val="Header"/>
    </w:pPr>
    <w:r>
      <w:rPr>
        <w:noProof/>
      </w:rPr>
      <w:pict w14:anchorId="1EE5957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342485" o:spid="_x0000_s2052" type="#_x0000_t136" style="position:absolute;margin-left:0;margin-top:0;width:412.1pt;height:247.2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D028E7" w14:textId="630E4B57" w:rsidR="00857580" w:rsidRPr="00ED2A8D" w:rsidRDefault="002607B7" w:rsidP="005C4BB0">
    <w:pPr>
      <w:pStyle w:val="Header"/>
      <w:jc w:val="right"/>
      <w:rPr>
        <w:lang w:val="en-GB"/>
      </w:rPr>
    </w:pPr>
    <w:r>
      <w:rPr>
        <w:noProof/>
      </w:rPr>
      <w:pict w14:anchorId="2B3A629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342486" o:spid="_x0000_s2053" type="#_x0000_t136" style="position:absolute;left:0;text-align:left;margin-left:0;margin-top:0;width:412.1pt;height:247.2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sidRPr="00442889">
      <w:rPr>
        <w:noProof/>
        <w:lang w:val="en-GB" w:eastAsia="en-GB"/>
      </w:rPr>
      <w:drawing>
        <wp:anchor distT="0" distB="0" distL="114300" distR="114300" simplePos="0" relativeHeight="251653632" behindDoc="1" locked="0" layoutInCell="1" allowOverlap="1" wp14:anchorId="03207D6E" wp14:editId="6DBF70FA">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5C4BB0">
      <w:rPr>
        <w:sz w:val="22"/>
        <w:lang w:val="en-GB"/>
      </w:rPr>
      <w:t>C63-8.4.1.2</w:t>
    </w:r>
  </w:p>
  <w:p w14:paraId="65BE1D94" w14:textId="77777777" w:rsidR="00857580" w:rsidRPr="00ED2A8D" w:rsidRDefault="00857580" w:rsidP="008747E0">
    <w:pPr>
      <w:pStyle w:val="Header"/>
      <w:rPr>
        <w:lang w:val="en-GB"/>
      </w:rPr>
    </w:pPr>
  </w:p>
  <w:p w14:paraId="498193C0" w14:textId="77777777" w:rsidR="00857580" w:rsidRDefault="00857580" w:rsidP="008747E0">
    <w:pPr>
      <w:pStyle w:val="Header"/>
      <w:rPr>
        <w:lang w:val="en-GB"/>
      </w:rPr>
    </w:pP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77777777" w:rsidR="00857580" w:rsidRPr="00ED2A8D" w:rsidRDefault="00857580" w:rsidP="008747E0">
    <w:pPr>
      <w:pStyle w:val="Header"/>
      <w:rPr>
        <w:lang w:val="en-GB"/>
      </w:rPr>
    </w:pPr>
  </w:p>
  <w:p w14:paraId="74E97DBD" w14:textId="77777777" w:rsidR="00857580" w:rsidRPr="00ED2A8D" w:rsidRDefault="00857580" w:rsidP="001349DB">
    <w:pPr>
      <w:pStyle w:val="Header"/>
      <w:spacing w:line="360" w:lineRule="exact"/>
      <w:rPr>
        <w:lang w:val="en-GB"/>
      </w:rPr>
    </w:pPr>
    <w:r>
      <w:rPr>
        <w:noProof/>
        <w:lang w:val="en-GB" w:eastAsia="en-GB"/>
      </w:rPr>
      <w:drawing>
        <wp:anchor distT="0" distB="0" distL="114300" distR="114300" simplePos="0" relativeHeight="251654656" behindDoc="1" locked="0" layoutInCell="1" allowOverlap="1" wp14:anchorId="7FD87733" wp14:editId="645E0813">
          <wp:simplePos x="0" y="0"/>
          <wp:positionH relativeFrom="page">
            <wp:posOffset>0</wp:posOffset>
          </wp:positionH>
          <wp:positionV relativeFrom="page">
            <wp:posOffset>1686972</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F1420A" w14:textId="3EE9493C" w:rsidR="005C4BB0" w:rsidRDefault="002607B7">
    <w:pPr>
      <w:pStyle w:val="Header"/>
    </w:pPr>
    <w:r>
      <w:rPr>
        <w:noProof/>
      </w:rPr>
      <w:pict w14:anchorId="66B4BD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342484" o:spid="_x0000_s2051" type="#_x0000_t136" style="position:absolute;margin-left:0;margin-top:0;width:412.1pt;height:247.25pt;rotation:315;z-index:-2516597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BC9092" w14:textId="0D648ADF" w:rsidR="005C4BB0" w:rsidRDefault="002607B7">
    <w:pPr>
      <w:pStyle w:val="Header"/>
    </w:pPr>
    <w:r>
      <w:rPr>
        <w:noProof/>
      </w:rPr>
      <w:pict w14:anchorId="6E2B478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342488" o:spid="_x0000_s2055" type="#_x0000_t136" style="position:absolute;margin-left:0;margin-top:0;width:412.1pt;height:247.25pt;rotation:315;z-index:-2516556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61824D" w14:textId="37C1C704" w:rsidR="00857580" w:rsidRPr="00ED2A8D" w:rsidRDefault="002607B7" w:rsidP="008747E0">
    <w:pPr>
      <w:pStyle w:val="Header"/>
      <w:rPr>
        <w:lang w:val="en-GB"/>
      </w:rPr>
    </w:pPr>
    <w:r>
      <w:rPr>
        <w:noProof/>
      </w:rPr>
      <w:pict w14:anchorId="7D0B5B7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342489" o:spid="_x0000_s2056" type="#_x0000_t136" style="position:absolute;margin-left:0;margin-top:0;width:412.1pt;height:247.25pt;rotation:315;z-index:-251654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Pr>
        <w:noProof/>
        <w:lang w:val="en-GB" w:eastAsia="en-GB"/>
      </w:rPr>
      <w:drawing>
        <wp:anchor distT="0" distB="0" distL="114300" distR="114300" simplePos="0" relativeHeight="251655680" behindDoc="1" locked="0" layoutInCell="1" allowOverlap="1" wp14:anchorId="622BD764" wp14:editId="56E21EC1">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3D07D85" w14:textId="44A7D50B" w:rsidR="00857580" w:rsidRPr="00ED2A8D" w:rsidRDefault="005C4BB0" w:rsidP="005C4BB0">
    <w:pPr>
      <w:pStyle w:val="Header"/>
      <w:jc w:val="right"/>
      <w:rPr>
        <w:lang w:val="en-GB"/>
      </w:rPr>
    </w:pPr>
    <w:r>
      <w:rPr>
        <w:sz w:val="22"/>
        <w:lang w:val="en-GB"/>
      </w:rPr>
      <w:t>C63-8.4.1.2</w:t>
    </w:r>
  </w:p>
  <w:p w14:paraId="406C1DF9" w14:textId="77777777" w:rsidR="00857580" w:rsidRDefault="00857580" w:rsidP="008747E0">
    <w:pPr>
      <w:pStyle w:val="Header"/>
      <w:rPr>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77777777" w:rsidR="00857580" w:rsidRPr="00ED2A8D" w:rsidRDefault="00857580" w:rsidP="008747E0">
    <w:pPr>
      <w:pStyle w:val="Header"/>
      <w:rPr>
        <w:lang w:val="en-GB"/>
      </w:rPr>
    </w:pPr>
  </w:p>
  <w:p w14:paraId="4D91A256" w14:textId="77777777" w:rsidR="00857580" w:rsidRPr="00AC33A2" w:rsidRDefault="00857580"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8DA3C" w14:textId="2E330FC8" w:rsidR="005C4BB0" w:rsidRDefault="002607B7">
    <w:pPr>
      <w:pStyle w:val="Header"/>
    </w:pPr>
    <w:r>
      <w:rPr>
        <w:noProof/>
      </w:rPr>
      <w:pict w14:anchorId="72A48F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342487" o:spid="_x0000_s2054" type="#_x0000_t136" style="position:absolute;margin-left:0;margin-top:0;width:412.1pt;height:247.25pt;rotation:315;z-index:-251656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91645B" w14:textId="5677D829" w:rsidR="005C4BB0" w:rsidRDefault="002607B7">
    <w:pPr>
      <w:pStyle w:val="Header"/>
    </w:pPr>
    <w:r>
      <w:rPr>
        <w:noProof/>
      </w:rPr>
      <w:pict w14:anchorId="7A16C4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342491" o:spid="_x0000_s2058" type="#_x0000_t136" style="position:absolute;margin-left:0;margin-top:0;width:412.1pt;height:247.25pt;rotation:315;z-index:-251652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91943A" w14:textId="75A4E70D" w:rsidR="00857580" w:rsidRPr="00AB623C" w:rsidRDefault="005C4BB0" w:rsidP="005C4BB0">
    <w:pPr>
      <w:pStyle w:val="Header"/>
      <w:jc w:val="right"/>
      <w:rPr>
        <w:lang w:val="en-GB"/>
      </w:rPr>
    </w:pPr>
    <w:r>
      <w:rPr>
        <w:sz w:val="22"/>
        <w:lang w:val="en-GB"/>
      </w:rPr>
      <w:t>C63-8.4.1.2</w:t>
    </w:r>
    <w:r w:rsidR="002607B7">
      <w:rPr>
        <w:noProof/>
      </w:rPr>
      <w:pict w14:anchorId="49835E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342492" o:spid="_x0000_s2059" type="#_x0000_t136" style="position:absolute;left:0;text-align:left;margin-left:0;margin-top:0;width:412.1pt;height:247.25pt;rotation:315;z-index:-2516515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Pr>
        <w:noProof/>
        <w:lang w:val="en-GB" w:eastAsia="en-GB"/>
      </w:rPr>
      <w:drawing>
        <wp:anchor distT="0" distB="0" distL="114300" distR="114300" simplePos="0" relativeHeight="251652608" behindDoc="1" locked="0" layoutInCell="1" allowOverlap="1" wp14:anchorId="7265616B" wp14:editId="3BC2C1AF">
          <wp:simplePos x="0" y="0"/>
          <wp:positionH relativeFrom="page">
            <wp:posOffset>6823766</wp:posOffset>
          </wp:positionH>
          <wp:positionV relativeFrom="page">
            <wp:posOffset>-207010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49043" w14:textId="00E5886A" w:rsidR="005C4BB0" w:rsidRDefault="002607B7">
    <w:pPr>
      <w:pStyle w:val="Header"/>
    </w:pPr>
    <w:r>
      <w:rPr>
        <w:noProof/>
      </w:rPr>
      <w:pict w14:anchorId="76B10A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342490" o:spid="_x0000_s2057" type="#_x0000_t136" style="position:absolute;margin-left:0;margin-top:0;width:412.1pt;height:247.25pt;rotation:315;z-index:-2516536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6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698"/>
    <w:rsid w:val="00085375"/>
    <w:rsid w:val="000C711B"/>
    <w:rsid w:val="000D4C23"/>
    <w:rsid w:val="000E5B53"/>
    <w:rsid w:val="001349DB"/>
    <w:rsid w:val="0013794D"/>
    <w:rsid w:val="00192FEB"/>
    <w:rsid w:val="001B1140"/>
    <w:rsid w:val="001C3592"/>
    <w:rsid w:val="001E416D"/>
    <w:rsid w:val="00203BE2"/>
    <w:rsid w:val="002204DA"/>
    <w:rsid w:val="002607B7"/>
    <w:rsid w:val="00265AFA"/>
    <w:rsid w:val="0027175D"/>
    <w:rsid w:val="002B6679"/>
    <w:rsid w:val="00304DD8"/>
    <w:rsid w:val="003274DB"/>
    <w:rsid w:val="003476DC"/>
    <w:rsid w:val="003500F2"/>
    <w:rsid w:val="00366678"/>
    <w:rsid w:val="003900E0"/>
    <w:rsid w:val="003C7C34"/>
    <w:rsid w:val="004028D6"/>
    <w:rsid w:val="00406B02"/>
    <w:rsid w:val="004259CB"/>
    <w:rsid w:val="00434EE8"/>
    <w:rsid w:val="00441393"/>
    <w:rsid w:val="00456F10"/>
    <w:rsid w:val="00480184"/>
    <w:rsid w:val="00496E8D"/>
    <w:rsid w:val="004C7C5C"/>
    <w:rsid w:val="004E2F16"/>
    <w:rsid w:val="004F505B"/>
    <w:rsid w:val="00526234"/>
    <w:rsid w:val="0053726A"/>
    <w:rsid w:val="00553495"/>
    <w:rsid w:val="00556CF6"/>
    <w:rsid w:val="005C4BB0"/>
    <w:rsid w:val="006127AC"/>
    <w:rsid w:val="00666061"/>
    <w:rsid w:val="00680F99"/>
    <w:rsid w:val="006C24DF"/>
    <w:rsid w:val="006C748C"/>
    <w:rsid w:val="0070191F"/>
    <w:rsid w:val="00733698"/>
    <w:rsid w:val="00757F9E"/>
    <w:rsid w:val="00763409"/>
    <w:rsid w:val="0076457B"/>
    <w:rsid w:val="00767B26"/>
    <w:rsid w:val="007715E8"/>
    <w:rsid w:val="00782745"/>
    <w:rsid w:val="0078486B"/>
    <w:rsid w:val="007A446A"/>
    <w:rsid w:val="007D2107"/>
    <w:rsid w:val="007D3221"/>
    <w:rsid w:val="007E30DF"/>
    <w:rsid w:val="007E46D5"/>
    <w:rsid w:val="007F7033"/>
    <w:rsid w:val="007F7544"/>
    <w:rsid w:val="008226A6"/>
    <w:rsid w:val="008431CF"/>
    <w:rsid w:val="00857580"/>
    <w:rsid w:val="008747E0"/>
    <w:rsid w:val="009210BC"/>
    <w:rsid w:val="009330EF"/>
    <w:rsid w:val="009414E6"/>
    <w:rsid w:val="00971591"/>
    <w:rsid w:val="00974E99"/>
    <w:rsid w:val="009764FA"/>
    <w:rsid w:val="00980192"/>
    <w:rsid w:val="009B3B25"/>
    <w:rsid w:val="009C79E3"/>
    <w:rsid w:val="009E16EC"/>
    <w:rsid w:val="009E79A1"/>
    <w:rsid w:val="00A1776A"/>
    <w:rsid w:val="00A549B3"/>
    <w:rsid w:val="00AA70F6"/>
    <w:rsid w:val="00AB326D"/>
    <w:rsid w:val="00AB623C"/>
    <w:rsid w:val="00AB73F4"/>
    <w:rsid w:val="00AC33A2"/>
    <w:rsid w:val="00AF159C"/>
    <w:rsid w:val="00B02CC1"/>
    <w:rsid w:val="00B12B0A"/>
    <w:rsid w:val="00B31A41"/>
    <w:rsid w:val="00B67422"/>
    <w:rsid w:val="00B97082"/>
    <w:rsid w:val="00BA0733"/>
    <w:rsid w:val="00BE0675"/>
    <w:rsid w:val="00C065BD"/>
    <w:rsid w:val="00C07895"/>
    <w:rsid w:val="00C23906"/>
    <w:rsid w:val="00C81162"/>
    <w:rsid w:val="00C83666"/>
    <w:rsid w:val="00CB19DB"/>
    <w:rsid w:val="00CD0934"/>
    <w:rsid w:val="00CD36BB"/>
    <w:rsid w:val="00CE5E46"/>
    <w:rsid w:val="00CF477F"/>
    <w:rsid w:val="00CF569D"/>
    <w:rsid w:val="00D6195E"/>
    <w:rsid w:val="00D67D51"/>
    <w:rsid w:val="00D70AFE"/>
    <w:rsid w:val="00D74AE1"/>
    <w:rsid w:val="00D75F79"/>
    <w:rsid w:val="00DC7E67"/>
    <w:rsid w:val="00DD6C18"/>
    <w:rsid w:val="00DF1669"/>
    <w:rsid w:val="00E234E9"/>
    <w:rsid w:val="00E24B2E"/>
    <w:rsid w:val="00E270C5"/>
    <w:rsid w:val="00E317B0"/>
    <w:rsid w:val="00E41E70"/>
    <w:rsid w:val="00E67984"/>
    <w:rsid w:val="00E72A28"/>
    <w:rsid w:val="00E72B8D"/>
    <w:rsid w:val="00E77E7B"/>
    <w:rsid w:val="00EB6F3C"/>
    <w:rsid w:val="00EC4025"/>
    <w:rsid w:val="00ED2A8D"/>
    <w:rsid w:val="00EE1297"/>
    <w:rsid w:val="00EF404B"/>
    <w:rsid w:val="00F00376"/>
    <w:rsid w:val="00F11A7D"/>
    <w:rsid w:val="00F14214"/>
    <w:rsid w:val="00F157E2"/>
    <w:rsid w:val="00F41515"/>
    <w:rsid w:val="00F85EC1"/>
    <w:rsid w:val="00F87E86"/>
    <w:rsid w:val="00F9117F"/>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08D43F3E"/>
  <w15:docId w15:val="{B60B1EA3-DCFB-46CD-906E-582D1BF2D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9.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39C0D-EDA0-41E6-8779-1AC2BEF92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839</Words>
  <Characters>4788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IALA</vt:lpstr>
    </vt:vector>
  </TitlesOfParts>
  <Manager>IALA</Manager>
  <Company>IALA</Company>
  <LinksUpToDate>false</LinksUpToDate>
  <CharactersWithSpaces>5616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Wayne Quinn</cp:lastModifiedBy>
  <cp:revision>2</cp:revision>
  <dcterms:created xsi:type="dcterms:W3CDTF">2017-03-16T15:20:00Z</dcterms:created>
  <dcterms:modified xsi:type="dcterms:W3CDTF">2017-03-16T15:20:00Z</dcterms:modified>
</cp:coreProperties>
</file>